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67F5D" w:rsidRDefault="00E67F5D">
      <w:pPr>
        <w:widowControl w:val="0"/>
        <w:pBdr>
          <w:top w:val="nil"/>
          <w:left w:val="nil"/>
          <w:bottom w:val="nil"/>
          <w:right w:val="nil"/>
          <w:between w:val="nil"/>
        </w:pBdr>
        <w:spacing w:after="0"/>
      </w:pPr>
    </w:p>
    <w:p w14:paraId="00000002" w14:textId="77777777" w:rsidR="00E67F5D" w:rsidRDefault="0027789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sectPr w:rsidR="00E67F5D">
          <w:headerReference w:type="even" r:id="rId9"/>
          <w:headerReference w:type="default" r:id="rId10"/>
          <w:footerReference w:type="even" r:id="rId11"/>
          <w:footerReference w:type="default" r:id="rId12"/>
          <w:headerReference w:type="first" r:id="rId13"/>
          <w:footerReference w:type="first" r:id="rId14"/>
          <w:pgSz w:w="11906" w:h="16838"/>
          <w:pgMar w:top="1134" w:right="1417" w:bottom="1134" w:left="1417" w:header="709" w:footer="709" w:gutter="0"/>
          <w:pgNumType w:start="0"/>
          <w:cols w:space="708"/>
        </w:sectPr>
      </w:pPr>
      <w:bookmarkStart w:id="0" w:name="bookmark=id.3ssgyimhtk0s" w:colFirst="0" w:colLast="0"/>
      <w:bookmarkEnd w:id="0"/>
      <w:r>
        <w:rPr>
          <w:rFonts w:ascii="Times New Roman" w:eastAsia="Times New Roman" w:hAnsi="Times New Roman" w:cs="Times New Roman"/>
          <w:color w:val="000000"/>
          <w:sz w:val="24"/>
          <w:szCs w:val="24"/>
        </w:rPr>
        <w:pict w14:anchorId="526AED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7E9A26CC-8B29-482E-9CDA-53FB89B40E12" style="width:455.25pt;height:383.25pt">
            <v:imagedata r:id="rId15" o:title=""/>
          </v:shape>
        </w:pict>
      </w:r>
    </w:p>
    <w:p w14:paraId="00000003" w14:textId="28A2AB61"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ANNEX</w:t>
      </w:r>
      <w:sdt>
        <w:sdtPr>
          <w:tag w:val="goog_rdk_0"/>
          <w:id w:val="244974867"/>
        </w:sdtPr>
        <w:sdtContent>
          <w:r>
            <w:rPr>
              <w:rFonts w:ascii="Times New Roman" w:eastAsia="Times New Roman" w:hAnsi="Times New Roman" w:cs="Times New Roman"/>
              <w:b/>
              <w:sz w:val="24"/>
              <w:szCs w:val="24"/>
              <w:u w:val="single"/>
            </w:rPr>
            <w:t xml:space="preserve"> 3</w:t>
          </w:r>
          <w:sdt>
            <w:sdtPr>
              <w:tag w:val="goog_rdk_1"/>
              <w:id w:val="-793031323"/>
              <w:showingPlcHdr/>
            </w:sdtPr>
            <w:sdtContent>
              <w:r w:rsidR="00320CF2">
                <w:t xml:space="preserve">     </w:t>
              </w:r>
            </w:sdtContent>
          </w:sdt>
        </w:sdtContent>
      </w:sdt>
      <w:r>
        <w:rPr>
          <w:rFonts w:ascii="Times New Roman" w:eastAsia="Times New Roman" w:hAnsi="Times New Roman" w:cs="Times New Roman"/>
          <w:b/>
          <w:sz w:val="24"/>
          <w:szCs w:val="24"/>
          <w:u w:val="single"/>
        </w:rPr>
        <w:t xml:space="preserve"> </w:t>
      </w:r>
    </w:p>
    <w:p w14:paraId="00000004" w14:textId="77777777" w:rsidR="00E67F5D" w:rsidRDefault="00E67F5D">
      <w:pPr>
        <w:spacing w:before="120" w:after="120" w:line="240" w:lineRule="auto"/>
        <w:jc w:val="center"/>
        <w:rPr>
          <w:rFonts w:ascii="Times New Roman" w:eastAsia="Times New Roman" w:hAnsi="Times New Roman" w:cs="Times New Roman"/>
          <w:sz w:val="24"/>
          <w:szCs w:val="24"/>
        </w:rPr>
      </w:pPr>
    </w:p>
    <w:p w14:paraId="00000005" w14:textId="77777777" w:rsidR="00E67F5D"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STANDARD CONTRACTUAL CLAUSES</w:t>
      </w:r>
    </w:p>
    <w:p w14:paraId="00000006" w14:textId="77777777" w:rsidR="00E67F5D" w:rsidRDefault="00E67F5D">
      <w:pPr>
        <w:spacing w:before="120" w:after="120" w:line="240" w:lineRule="auto"/>
        <w:jc w:val="center"/>
        <w:rPr>
          <w:rFonts w:ascii="Times New Roman" w:eastAsia="Times New Roman" w:hAnsi="Times New Roman" w:cs="Times New Roman"/>
          <w:b/>
          <w:sz w:val="24"/>
          <w:szCs w:val="24"/>
        </w:rPr>
      </w:pPr>
    </w:p>
    <w:p w14:paraId="00000007"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w:t>
      </w:r>
    </w:p>
    <w:p w14:paraId="00000008"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w:t>
      </w:r>
    </w:p>
    <w:p w14:paraId="00000009"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Purpose and scope </w:t>
      </w:r>
    </w:p>
    <w:p w14:paraId="0000000A"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these standard contractual clauses is to ensure compliance with the requirements of Regulation (EU) 2016/679 of the European Parliament and of the Council of 27 April 2016 on the protection of natural persons with regard to the processing of personal data and on the free movement of such data (General Data Protection Regulation)</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for the transfer of personal data to a third country.</w:t>
      </w:r>
    </w:p>
    <w:p w14:paraId="0000000B"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w:t>
      </w:r>
    </w:p>
    <w:p w14:paraId="0000000C" w14:textId="77777777" w:rsidR="00E67F5D" w:rsidRDefault="00000000">
      <w:pPr>
        <w:numPr>
          <w:ilvl w:val="3"/>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natural or legal person(s), public authority/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agency/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or other body/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(hereinafter “entity/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transferring the personal data, as listed in Annex I.A. (hereinafter each “data exporter”), and</w:t>
      </w:r>
    </w:p>
    <w:p w14:paraId="0000000D" w14:textId="77777777" w:rsidR="00E67F5D" w:rsidRDefault="00000000">
      <w:pPr>
        <w:numPr>
          <w:ilvl w:val="3"/>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entity/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in a third country receiving the personal data from the data exporter, directly or indirectly via another entity also Party to these Clauses, as listed in Annex I.A. (hereinafter each “data importer”)</w:t>
      </w:r>
    </w:p>
    <w:p w14:paraId="0000000E"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have agreed to these standard contractual clauses (hereinafter: “Clauses”). </w:t>
      </w:r>
    </w:p>
    <w:p w14:paraId="0000000F"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apply with respect to the transfer of personal data as specified in Annex I.B. </w:t>
      </w:r>
    </w:p>
    <w:p w14:paraId="00000010"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Appendix to these Clauses containing the Annexes referred to therein forms an integral part of these Clauses.</w:t>
      </w:r>
    </w:p>
    <w:p w14:paraId="00000011"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2</w:t>
      </w:r>
    </w:p>
    <w:p w14:paraId="00000012"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Effect and invariability of the Clauses</w:t>
      </w:r>
    </w:p>
    <w:p w14:paraId="00000013" w14:textId="77777777" w:rsidR="00E67F5D" w:rsidRDefault="00000000">
      <w:pPr>
        <w:numPr>
          <w:ilvl w:val="5"/>
          <w:numId w:val="18"/>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set out appropriate safeguards, including enforceable data subject rights and effective legal remedies, pursuant to Article 46(1) and Article 46 (2)(c) of Regulation (EU) 2016/679 and, with respect to data transfers from controllers to processors and/or processors to processors, standard contractual clauses pursuant to </w:t>
      </w:r>
      <w:r>
        <w:rPr>
          <w:rFonts w:ascii="Times New Roman" w:eastAsia="Times New Roman" w:hAnsi="Times New Roman" w:cs="Times New Roman"/>
          <w:sz w:val="24"/>
          <w:szCs w:val="24"/>
        </w:rPr>
        <w:lastRenderedPageBreak/>
        <w:t xml:space="preserve">Article 28(7) of Regulation (EU) 2016/679, provided they are not modified, except to select the appropriate Module(s) or to add or update information in the Appendix. This does not prevent the Parties from including the standard contractual clauses laid down in these Clauses in a wider contract and/or to add other clauses or additional safeguards, provided that they do not contradict, directly or indirectly, these Clauses or prejudice the fundamental rights or freedoms of data subjects. </w:t>
      </w:r>
    </w:p>
    <w:p w14:paraId="00000014" w14:textId="77777777" w:rsidR="00E67F5D" w:rsidRDefault="00000000">
      <w:pPr>
        <w:numPr>
          <w:ilvl w:val="5"/>
          <w:numId w:val="18"/>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are without prejudice to obligations to which the data exporter is subject by virtue of Regulation (EU) 2016/679.</w:t>
      </w:r>
    </w:p>
    <w:p w14:paraId="00000015"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3</w:t>
      </w:r>
    </w:p>
    <w:p w14:paraId="00000016"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Third-party beneficiaries</w:t>
      </w:r>
    </w:p>
    <w:p w14:paraId="00000017" w14:textId="77777777" w:rsidR="00E67F5D"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Data subjects may invoke and enforce these Clauses, as third-party beneficiaries, against the data exporter and/or data importer, with the following exceptions:</w:t>
      </w:r>
    </w:p>
    <w:p w14:paraId="00000018"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 Clause 2, Clause 3, Clause 6, Clause 7;</w:t>
      </w:r>
    </w:p>
    <w:p w14:paraId="00000019"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8 - Module One: Clause 8.5 (e) and Clause 8.9(b); Module Two: Clause 8.1(b), 8.9(a), (c), (d) and (e); Module Three: Clause 8.1(a), (c) and (d) and Clause 8.9(a), (c), (d), (e), (f) and (g); Module Four: Clause 8.1 (b) and Clause 8.3(b);</w:t>
      </w:r>
    </w:p>
    <w:p w14:paraId="0000001A"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9 - Module Two: Clause 9(a), (c), (d) and (e); Module Three: Clause 9(a), (c), (d) and (e);</w:t>
      </w:r>
    </w:p>
    <w:p w14:paraId="0000001B"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12 - Module One: Clause 12(a) and (d); Modules Two and Three: Clause 12(a), (d) and (f);</w:t>
      </w:r>
    </w:p>
    <w:p w14:paraId="0000001C"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13;</w:t>
      </w:r>
    </w:p>
    <w:p w14:paraId="0000001D"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15.1(c), (d) and (e);</w:t>
      </w:r>
    </w:p>
    <w:p w14:paraId="0000001E"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16(e);</w:t>
      </w:r>
    </w:p>
    <w:p w14:paraId="0000001F"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18 - Modules One, Two and Three: Clause 18(a) and (b); Module Four: Clause 18.</w:t>
      </w:r>
    </w:p>
    <w:p w14:paraId="00000020" w14:textId="77777777" w:rsidR="00E67F5D"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 (a) is without prejudice to rights of data subjects under Regulation (EU) 2016/679.</w:t>
      </w:r>
    </w:p>
    <w:p w14:paraId="00000021"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4</w:t>
      </w:r>
    </w:p>
    <w:p w14:paraId="00000022"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Interpretation</w:t>
      </w:r>
    </w:p>
    <w:p w14:paraId="00000023"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these Clauses use terms that are defined in Regulation (EU) 2016/679, those terms shall have the same meaning as in that Regulation.</w:t>
      </w:r>
    </w:p>
    <w:p w14:paraId="00000024"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shall be read and interpreted in the light of the provisions of Regulation (EU) 2016/679.</w:t>
      </w:r>
    </w:p>
    <w:p w14:paraId="00000025"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shall not be interpreted in a way that conflicts with rights and obligations provided for in Regulation (EU) 2016/679. </w:t>
      </w:r>
    </w:p>
    <w:p w14:paraId="00000026" w14:textId="77777777" w:rsidR="00E67F5D" w:rsidRDefault="00000000">
      <w:pPr>
        <w:rPr>
          <w:rFonts w:ascii="Times New Roman" w:eastAsia="Times New Roman" w:hAnsi="Times New Roman" w:cs="Times New Roman"/>
          <w:i/>
          <w:sz w:val="24"/>
          <w:szCs w:val="24"/>
        </w:rPr>
      </w:pPr>
      <w:r>
        <w:br w:type="page"/>
      </w:r>
    </w:p>
    <w:p w14:paraId="0000002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Clause 5</w:t>
      </w:r>
    </w:p>
    <w:p w14:paraId="0000002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Hierarchy</w:t>
      </w:r>
    </w:p>
    <w:p w14:paraId="00000029"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of a contradiction between these Clauses and the provisions of related agreements between the Parties, existing at the time these Clauses are agreed or entered into thereafter, these Clauses shall prevail.</w:t>
      </w:r>
    </w:p>
    <w:p w14:paraId="0000002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6</w:t>
      </w:r>
    </w:p>
    <w:p w14:paraId="0000002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Description of the transfer(s)</w:t>
      </w:r>
    </w:p>
    <w:p w14:paraId="0000002C"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details of the transfer(s), and in particular the categories of personal data that are transferred and the purpose(s) for which they are transferred, are specified in Annex I.B.</w:t>
      </w:r>
    </w:p>
    <w:p w14:paraId="0000002D"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7 - Optional</w:t>
      </w:r>
    </w:p>
    <w:p w14:paraId="0000002E"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Docking clause</w:t>
      </w:r>
    </w:p>
    <w:p w14:paraId="0000002F"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entity that is not a Party to these Clauses may, with the agreement of the Parties, accede to these Clauses at any time, either as a data exporter or as a data importer, by completing the Appendix and signing Annex I.A.  </w:t>
      </w:r>
    </w:p>
    <w:p w14:paraId="00000030"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Once it has completed the Appendix and signed Annex I.A, the acceding entity shall become a Party to these Clauses and have the rights and obligations of a data exporter or data importer in accordance with its designation in Annex I.A.</w:t>
      </w:r>
    </w:p>
    <w:p w14:paraId="00000031"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acceding entity shall have no rights or obligations arising under these Clauses from the period prior to becoming a Party.</w:t>
      </w:r>
    </w:p>
    <w:p w14:paraId="00000032"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33"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II – OBLIGATIONS OF THE PARTIES</w:t>
      </w:r>
    </w:p>
    <w:p w14:paraId="00000034"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8</w:t>
      </w:r>
    </w:p>
    <w:p w14:paraId="00000035"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Data protection safeguards</w:t>
      </w:r>
    </w:p>
    <w:p w14:paraId="0000003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exporter warrants that it has used reasonable efforts to determine that the data importer is able, through the implementation of appropriate technical and organisational measures, to satisfy its obligations under these Clauses. </w:t>
      </w:r>
    </w:p>
    <w:p w14:paraId="00000037" w14:textId="77777777" w:rsidR="00E67F5D"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8.1</w:t>
      </w:r>
      <w:r>
        <w:rPr>
          <w:rFonts w:ascii="Times New Roman" w:eastAsia="Times New Roman" w:hAnsi="Times New Roman" w:cs="Times New Roman"/>
          <w:b/>
          <w:sz w:val="24"/>
          <w:szCs w:val="24"/>
        </w:rPr>
        <w:tab/>
        <w:t>Purpose limitation</w:t>
      </w:r>
    </w:p>
    <w:p w14:paraId="00000038"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process the personal data only for the specific purpose(s) of the transfer, as set out in Annex I.B. It may only process the personal data for another purpose: </w:t>
      </w:r>
    </w:p>
    <w:p w14:paraId="00000039"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it has obtained the data subject’s prior consent; </w:t>
      </w:r>
    </w:p>
    <w:p w14:paraId="0000003A"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necessary for the establishment, exercise or defence of legal claims in the context of specific administrative, regulatory or judicial proceedings; or </w:t>
      </w:r>
    </w:p>
    <w:p w14:paraId="0000003B"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necessary in order to protect the vital interests of the data subject or of another natural person.</w:t>
      </w:r>
    </w:p>
    <w:p w14:paraId="0000003C"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8.2</w:t>
      </w:r>
      <w:r>
        <w:rPr>
          <w:rFonts w:ascii="Times New Roman" w:eastAsia="Times New Roman" w:hAnsi="Times New Roman" w:cs="Times New Roman"/>
          <w:b/>
          <w:sz w:val="24"/>
          <w:szCs w:val="24"/>
        </w:rPr>
        <w:tab/>
        <w:t xml:space="preserve">Transparency </w:t>
      </w:r>
    </w:p>
    <w:p w14:paraId="0000003D"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 order to enable data subjects to effectively exercise their rights pursuant to Clause 10, the data importer shall inform them, either directly or through the data exporter:</w:t>
      </w:r>
    </w:p>
    <w:p w14:paraId="0000003E"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its identity and contact details;</w:t>
      </w:r>
    </w:p>
    <w:p w14:paraId="0000003F"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the categories of personal data processed;</w:t>
      </w:r>
    </w:p>
    <w:p w14:paraId="00000040"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the right to obtain a copy of these Clauses;</w:t>
      </w:r>
    </w:p>
    <w:p w14:paraId="00000041"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it intends to onward transfer the personal data to any third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of the recipient or categories of recipients (as appropriate with a view to providing meaningful information), the purpose of such onward transfer and the ground therefore pursuant to Clause 8.7.</w:t>
      </w:r>
    </w:p>
    <w:p w14:paraId="00000042"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 (a) shall not apply where the data subject already has the information, including when such information has already been provided by the data exporter, or providing the information proves impossible or would involve a disproportionate effort for the data importer. In the latter case, the data importer shall, to the extent possible, make the information publicly available.</w:t>
      </w:r>
    </w:p>
    <w:p w14:paraId="00000043"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request, the Parties shall make a copy of these Clauses, including the Appendix as completed by them, available to the data subject free of charge. To the extent necessary to protect business secrets or other confidential information, including personal data, the Parties may redact part of the text of the Appendix prior to sharing a copy, but shall provide a meaningful summary where the data subject would otherwise not be able to understand its content or exercise his/her rights. On request, the Parties shall provide the data subject with the reasons for the redactions, to the extent possible without revealing the redacted information.</w:t>
      </w:r>
    </w:p>
    <w:p w14:paraId="00000044"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Paragraphs (a) to (c) are without prejudice to the obligations of the data exporter under Articles 13 and 14 of Regulation (EU) 2016/679.  </w:t>
      </w:r>
    </w:p>
    <w:p w14:paraId="00000045"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8.3</w:t>
      </w:r>
      <w:r>
        <w:rPr>
          <w:rFonts w:ascii="Times New Roman" w:eastAsia="Times New Roman" w:hAnsi="Times New Roman" w:cs="Times New Roman"/>
          <w:b/>
          <w:sz w:val="24"/>
          <w:szCs w:val="24"/>
        </w:rPr>
        <w:tab/>
        <w:t>Accuracy and data minimisation</w:t>
      </w:r>
    </w:p>
    <w:p w14:paraId="00000046"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ensure that the personal data is accurate and, where necessary, kept up to date. The data importer shall take every reasonable step to ensure that personal data that is inaccurate, having regard to the purpose(s) of processing, is erased or rectified without delay.</w:t>
      </w:r>
    </w:p>
    <w:p w14:paraId="00000047"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one of the Parties becomes aware that the personal data it has transferred or received is inaccurate, or has become outdated, it shall inform the other Party without undue delay.</w:t>
      </w:r>
    </w:p>
    <w:p w14:paraId="00000048"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ensure that the personal data is adequate, relevant and limited to what is necessary in relation to the purpose(s) of processing. </w:t>
      </w:r>
    </w:p>
    <w:p w14:paraId="00000049"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8.4</w:t>
      </w:r>
      <w:r>
        <w:rPr>
          <w:rFonts w:ascii="Times New Roman" w:eastAsia="Times New Roman" w:hAnsi="Times New Roman" w:cs="Times New Roman"/>
          <w:b/>
          <w:sz w:val="24"/>
          <w:szCs w:val="24"/>
        </w:rPr>
        <w:tab/>
        <w:t>Storage limitation</w:t>
      </w:r>
    </w:p>
    <w:p w14:paraId="0000004A"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retain the personal data for no longer than necessary for the purpose(s) for which it is processed. It shall put in place appropriate technical or organisational measures </w:t>
      </w:r>
      <w:r>
        <w:rPr>
          <w:rFonts w:ascii="Times New Roman" w:eastAsia="Times New Roman" w:hAnsi="Times New Roman" w:cs="Times New Roman"/>
          <w:sz w:val="24"/>
          <w:szCs w:val="24"/>
        </w:rPr>
        <w:lastRenderedPageBreak/>
        <w:t>to ensure compliance with this obligation, including erasure or anonymisation</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of the data and all back-ups at the end of the retention period.  </w:t>
      </w:r>
    </w:p>
    <w:p w14:paraId="0000004B"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8.5</w:t>
      </w:r>
      <w:r>
        <w:rPr>
          <w:rFonts w:ascii="Times New Roman" w:eastAsia="Times New Roman" w:hAnsi="Times New Roman" w:cs="Times New Roman"/>
          <w:b/>
          <w:sz w:val="24"/>
          <w:szCs w:val="24"/>
        </w:rPr>
        <w:tab/>
        <w:t>Security of processing</w:t>
      </w:r>
    </w:p>
    <w:p w14:paraId="0000004C"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and, during transmission, also the data exporter shall implement appropriate technical and organisational measures to ensure the security of the personal data, including  protection against a breach of security leading to accidental or unlawful destruction, loss, alteration, unauthorised disclosure or access (hereinafter “personal data breach”). In assessing the appropriate level of security, they shall take due account of the state of the art, the costs of implementation, the nature, scope, context and purpose(s) of processing and the risks involved in the processing for the data subject. The Parties shall in particular consider having recourse to encryption or pseudonymisation, including during transmission, where the purpose of processing can be fulfilled in that manner. </w:t>
      </w:r>
    </w:p>
    <w:p w14:paraId="0000004D"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have agreed on the technical and organisational measures set out in Annex II. The data importer shall carry out regular checks to ensure that these measures continue to provide an appropriate level of security.</w:t>
      </w:r>
    </w:p>
    <w:p w14:paraId="0000004E"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ensure that persons authorised to process the personal data have committed themselves to confidentiality or are under an appropriate statutory obligation of confidentiality.</w:t>
      </w:r>
    </w:p>
    <w:p w14:paraId="0000004F"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of a personal data breach concerning personal data processed by the data importer under these Clauses, the data importer shall take appropriate measures to address the personal data breach, including measures to mitigate its possible adverse effects.</w:t>
      </w:r>
    </w:p>
    <w:p w14:paraId="00000050"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personal data breach that is likely to result in a risk to the rights and freedoms of natural persons, the data importer shall without undue delay notify both the data exporter and the competent supervisory authority pursuant to Clause 13. Such notification shall contain i) a description of the nature of the breach (including, where possible, categories and approximate number of data subjects and personal data records concerned), ii) its likely consequences, iii) the measures taken or proposed to address the breach, and iv) the details of a contact point from whom more information can be obtained. To the extent it is not possible for the data importer to provide all the information at the same time, it may do so in phases without undue further delay. </w:t>
      </w:r>
    </w:p>
    <w:p w14:paraId="00000051"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personal data breach that is likely to result in a high risk to the rights and freedoms of natural persons, the data importer shall also notify without undue delay the data subjects concerned of the personal data breach and its nature, if necessary in cooperation with the data exporter, together with the information referred to in paragraph (e), points ii) to iv), unless the data importer has implemented measures to significantly reduce the risk to the rights or freedoms of natural persons, or notification would involve disproportionate efforts. In the latter case, the data importer shall instead issue a public communication or take a similar measure to inform the public of the personal data breach. </w:t>
      </w:r>
    </w:p>
    <w:p w14:paraId="00000052"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 data importer shall document all relevant facts relating to the personal data breach, including its effects and any remedial action taken, and keep a record thereof.</w:t>
      </w:r>
    </w:p>
    <w:p w14:paraId="00000053"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8.6</w:t>
      </w:r>
      <w:r>
        <w:rPr>
          <w:rFonts w:ascii="Times New Roman" w:eastAsia="Times New Roman" w:hAnsi="Times New Roman" w:cs="Times New Roman"/>
          <w:b/>
          <w:sz w:val="24"/>
          <w:szCs w:val="24"/>
        </w:rPr>
        <w:tab/>
        <w:t>Sensitive data</w:t>
      </w:r>
    </w:p>
    <w:p w14:paraId="00000054"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the transfer involves personal data revealing racial or ethnic origin, political opinions, religious or philosophical beliefs, or trade union membership, genetic data, or biometric data for the purpose of uniquely identifying a natural person, data concerning health or a person’s sex life or sexual orientation, or data relating to criminal convictions or offences (hereinafter “sensitive data”), the data importer shall apply specific restrictions and/or additional safeguards adapted to the specific nature of the data and the risks involved. This may include restricting the personnel permitted to access the personal data, additional security measures (such as pseudonymisation) and/or additional restrictions with respect to further disclosure.</w:t>
      </w:r>
    </w:p>
    <w:p w14:paraId="00000055"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8.7</w:t>
      </w:r>
      <w:r>
        <w:rPr>
          <w:rFonts w:ascii="Times New Roman" w:eastAsia="Times New Roman" w:hAnsi="Times New Roman" w:cs="Times New Roman"/>
          <w:b/>
          <w:sz w:val="24"/>
          <w:szCs w:val="24"/>
        </w:rPr>
        <w:tab/>
        <w:t>Onward transfers</w:t>
      </w:r>
    </w:p>
    <w:p w14:paraId="0000005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not disclose the personal data to a third party located outside the European Union</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(in the same country as the data importer or in another third country, hereinafter “onward transfer”) unless the third party is or agrees to be bound by these Clauses, under the appropriate Module. Otherwise, an onward transfer by the data importer may only take place if: </w:t>
      </w:r>
    </w:p>
    <w:p w14:paraId="00000057"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it is to a country benefitting from an adequacy decision pursuant to Article 45 of Regulation (EU) 2016/679 that covers the onward transfer; </w:t>
      </w:r>
    </w:p>
    <w:p w14:paraId="00000058"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third party otherwise ensures appropriate safeguards pursuant to Articles 46 or 47 of Regulation (EU) 2016/679 with respect to the processing in question;</w:t>
      </w:r>
    </w:p>
    <w:p w14:paraId="00000059"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third party enters into a binding instrument with the data importer ensuring the same level of data protection as under these Clauses, and the data importer provides a copy of these safeguards to the data exporter;</w:t>
      </w:r>
    </w:p>
    <w:p w14:paraId="0000005A"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is necessary for the establishment, exercise or defence of legal claims in the context of specific administrative, regulatory or judicial proceedings;</w:t>
      </w:r>
    </w:p>
    <w:p w14:paraId="0000005B"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is necessary in order to protect the vital interests of the data subject or of another natural person; or</w:t>
      </w:r>
    </w:p>
    <w:p w14:paraId="0000005C"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none of the other conditions apply, the data importer has obtained the explicit consent of the data subject for an onward transfer in a specific situation, after having informed him/her of its purpose(s), the identity of the recipient and the possible risks of such transfer to him/her due to the lack of appropriate data protection safeguards. In this case, the data importer shall inform the data exporter and, at the request of the latter, shall transmit to it a copy of the information provided to the data subject.</w:t>
      </w:r>
    </w:p>
    <w:p w14:paraId="0000005D" w14:textId="77777777" w:rsidR="00E67F5D"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Any onward transfer is subject to compliance by the data importer with all the other safeguards under these Clauses, in particular purpose limitation.</w:t>
      </w:r>
    </w:p>
    <w:p w14:paraId="0000005E" w14:textId="77777777" w:rsidR="00E67F5D"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8.8</w:t>
      </w:r>
      <w:r>
        <w:rPr>
          <w:rFonts w:ascii="Times New Roman" w:eastAsia="Times New Roman" w:hAnsi="Times New Roman" w:cs="Times New Roman"/>
          <w:b/>
          <w:sz w:val="24"/>
          <w:szCs w:val="24"/>
        </w:rPr>
        <w:tab/>
        <w:t>Processing under the authority of the data importer</w:t>
      </w:r>
    </w:p>
    <w:p w14:paraId="0000005F" w14:textId="77777777" w:rsidR="00E67F5D"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ensure that any person acting under its authority, including a processor, processes the data only on its instructions. </w:t>
      </w:r>
    </w:p>
    <w:p w14:paraId="00000060" w14:textId="77777777" w:rsidR="00E67F5D"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8.9</w:t>
      </w:r>
      <w:r>
        <w:rPr>
          <w:rFonts w:ascii="Times New Roman" w:eastAsia="Times New Roman" w:hAnsi="Times New Roman" w:cs="Times New Roman"/>
          <w:b/>
          <w:sz w:val="24"/>
          <w:szCs w:val="24"/>
        </w:rPr>
        <w:tab/>
        <w:t>Documentation and compliance</w:t>
      </w:r>
    </w:p>
    <w:p w14:paraId="00000061" w14:textId="77777777" w:rsidR="00E67F5D"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able to demonstrate compliance with its obligations under these Clauses. In particular, the data importer shall keep appropriate documentation of the processing activities carried out under its responsibility.</w:t>
      </w:r>
    </w:p>
    <w:p w14:paraId="00000062" w14:textId="77777777" w:rsidR="00E67F5D"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make such documentation available to the competent supervisory authority on request.</w:t>
      </w:r>
    </w:p>
    <w:p w14:paraId="00000063" w14:textId="77777777" w:rsidR="00E67F5D" w:rsidRDefault="00000000">
      <w:pPr>
        <w:tabs>
          <w:tab w:val="left" w:pos="4000"/>
        </w:tabs>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00000064"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9</w:t>
      </w:r>
    </w:p>
    <w:p w14:paraId="00000065"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Use of sub-processors</w:t>
      </w:r>
    </w:p>
    <w:p w14:paraId="00000066" w14:textId="77777777" w:rsidR="00E67F5D" w:rsidRDefault="00000000">
      <w:pP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0000006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10</w:t>
      </w:r>
    </w:p>
    <w:p w14:paraId="0000006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Data subject rights</w:t>
      </w:r>
    </w:p>
    <w:p w14:paraId="00000069" w14:textId="77777777" w:rsidR="00E67F5D" w:rsidRDefault="00E67F5D">
      <w:pPr>
        <w:spacing w:before="120" w:after="120" w:line="240" w:lineRule="auto"/>
        <w:rPr>
          <w:rFonts w:ascii="Times New Roman" w:eastAsia="Times New Roman" w:hAnsi="Times New Roman" w:cs="Times New Roman"/>
          <w:b/>
          <w:i/>
          <w:sz w:val="24"/>
          <w:szCs w:val="24"/>
        </w:rPr>
      </w:pPr>
    </w:p>
    <w:p w14:paraId="0000006A" w14:textId="77777777" w:rsidR="00E67F5D" w:rsidRDefault="00000000">
      <w:pPr>
        <w:numPr>
          <w:ilvl w:val="1"/>
          <w:numId w:val="11"/>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where relevant with the assistance of the data exporter, shall deal with any enquiries and requests it receives from a data subject relating to the processing of his/her personal data and the exercise of his/her rights under these Clauses without undue delay and at the latest within one month of the receipt of the enquiry or request.</w:t>
      </w:r>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 xml:space="preserve"> The data importer shall take appropriate measures to facilitate such enquiries, requests and the exercise of data subject rights. Any information provided to the data subject shall be in an intelligible and easily accessible form, using clear and plain language.</w:t>
      </w:r>
    </w:p>
    <w:p w14:paraId="0000006B"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particular, upon request by the data subject the data importer shall, free of charge :</w:t>
      </w:r>
    </w:p>
    <w:p w14:paraId="0000006C"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provide confirmation to the data subject as to whether personal data concerning him/her is being processed and, where this is the case, a copy of the data relating to him/her and the information in Annex I; if personal data has been or will be onward transferred, provide information on recipients or categories of recipients (as appropriate with a view to providing meaningful information) to which the personal data has been or will be onward transferred, the purpose of such onward transfers and their ground pursuant to Clause 8.7; and provide information on </w:t>
      </w:r>
      <w:r>
        <w:rPr>
          <w:rFonts w:ascii="Times New Roman" w:eastAsia="Times New Roman" w:hAnsi="Times New Roman" w:cs="Times New Roman"/>
          <w:sz w:val="24"/>
          <w:szCs w:val="24"/>
        </w:rPr>
        <w:lastRenderedPageBreak/>
        <w:t xml:space="preserve">the right to lodge a complaint with a supervisory authority in accordance with Clause 12(c)(i); </w:t>
      </w:r>
    </w:p>
    <w:p w14:paraId="0000006D"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rectify inaccurate or incomplete data concerning the data subject; </w:t>
      </w:r>
    </w:p>
    <w:p w14:paraId="0000006E"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erase personal data concerning the data subject if such data is being or has been processed in violation of any of these Clauses ensuring third-party beneficiary rights, or if the data subject withdraws the consent on which the processing is based. </w:t>
      </w:r>
    </w:p>
    <w:p w14:paraId="0000006F"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the data importer processes the personal data for direct marketing purposes, it shall cease processing for such purposes if the data subject objects to it. </w:t>
      </w:r>
    </w:p>
    <w:p w14:paraId="00000070"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not make a decision based solely on the automated processing of the personal data transferred (hereinafter “automated decision”), which would produce legal effects concerning the data subject or similarly significantly affect him / her, unless with the explicit consent of the data subject or if authorised to do so under the laws of the country of destination, provided that such laws lays down suitable measures to safeguard the data subject’s rights and legitimate interests. In this case, the data importer shall, where necessary in cooperation with the data exporter:</w:t>
      </w:r>
    </w:p>
    <w:p w14:paraId="00000071"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inform the data subject about the envisaged automated decision, the envisaged consequences and the logic involved; and</w:t>
      </w:r>
    </w:p>
    <w:p w14:paraId="00000072"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implement suitable safeguards, at least by enabling the data subject to contest the decision, express his/her point of view and obtain review by a human being. </w:t>
      </w:r>
    </w:p>
    <w:p w14:paraId="00000073"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requests from a data subject are excessive, in particular because of their repetitive character, the data importer may either charge a reasonable fee taking into account the administrative costs of granting the request or refuse to act on the request.</w:t>
      </w:r>
    </w:p>
    <w:p w14:paraId="00000074"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may refuse a data subject’s request if such refusal is allowed under the laws of the country of destination and is necessary and proportionate in a democratic society to protect one of the objectives listed in Article 23(1) of Regulation (EU) 2016/679.</w:t>
      </w:r>
    </w:p>
    <w:p w14:paraId="00000075"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the data importer intends to refuse a data subject’s request, it shall inform the data subject of the reasons for the refusal and the possibility of lodging a complaint with the competent supervisory authority and/or seeking judicial redress.</w:t>
      </w:r>
    </w:p>
    <w:p w14:paraId="00000076" w14:textId="77777777" w:rsidR="00E67F5D" w:rsidRDefault="00E67F5D">
      <w:pPr>
        <w:spacing w:before="120" w:after="120" w:line="240" w:lineRule="auto"/>
        <w:jc w:val="both"/>
        <w:rPr>
          <w:rFonts w:ascii="Times New Roman" w:eastAsia="Times New Roman" w:hAnsi="Times New Roman" w:cs="Times New Roman"/>
          <w:b/>
          <w:sz w:val="24"/>
          <w:szCs w:val="24"/>
          <w:highlight w:val="lightGray"/>
        </w:rPr>
      </w:pPr>
    </w:p>
    <w:p w14:paraId="0000007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11</w:t>
      </w:r>
    </w:p>
    <w:p w14:paraId="0000007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Redress</w:t>
      </w:r>
    </w:p>
    <w:p w14:paraId="00000079"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inform data subjects in a transparent and easily accessible format, through individual notice or on its website, of a contact point authorised to handle complaints. It shall deal promptly with any complaints it receives from a data subject. </w:t>
      </w:r>
    </w:p>
    <w:p w14:paraId="0000007A"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that data subjects may also lodge a complaint with an independent dispute resolution body</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xml:space="preserve"> at no cost to the data subject. It shall inform the </w:t>
      </w:r>
      <w:r>
        <w:rPr>
          <w:rFonts w:ascii="Times New Roman" w:eastAsia="Times New Roman" w:hAnsi="Times New Roman" w:cs="Times New Roman"/>
          <w:sz w:val="24"/>
          <w:szCs w:val="24"/>
        </w:rPr>
        <w:lastRenderedPageBreak/>
        <w:t>data subjects, in the manner set out in paragraph (a), of such redress mechanism and that they are not required to use it, or follow a particular sequence in seeking redress.</w:t>
      </w:r>
    </w:p>
    <w:p w14:paraId="0000007B" w14:textId="77777777" w:rsidR="00E67F5D" w:rsidRDefault="00000000">
      <w:pPr>
        <w:numPr>
          <w:ilvl w:val="1"/>
          <w:numId w:val="12"/>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dispute between a data subject and one of the Parties as regards compliance with these Clauses, that Party shall use its best efforts to resolve the issue amicably in a timely fashion. The Parties shall keep each other informed about such disputes and, where appropriate, cooperate in resolving them.   </w:t>
      </w:r>
    </w:p>
    <w:p w14:paraId="0000007C"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the data subject invokes a third-party beneficiary right pursuant to Clause 3, the data importer shall accept the decision of the data subject to: </w:t>
      </w:r>
    </w:p>
    <w:p w14:paraId="0000007D" w14:textId="77777777" w:rsidR="00E67F5D" w:rsidRDefault="00000000">
      <w:pPr>
        <w:numPr>
          <w:ilvl w:val="3"/>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lodge a complaint with the supervisory authority in the Member State of his/her habitual residence or place of work, or the competent supervisory authority pursuant to Clause 13;</w:t>
      </w:r>
    </w:p>
    <w:p w14:paraId="0000007E" w14:textId="77777777" w:rsidR="00E67F5D" w:rsidRDefault="00000000">
      <w:pPr>
        <w:numPr>
          <w:ilvl w:val="3"/>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refer the dispute to the competent courts within the meaning of Clause 18.</w:t>
      </w:r>
    </w:p>
    <w:p w14:paraId="0000007F"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Parties accept that the data subject may be represented by a not-for-profit body, organisation or association under the conditions set out in Article 80(1) of Regulation (EU) 2016/679. </w:t>
      </w:r>
    </w:p>
    <w:p w14:paraId="00000080"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abide by a decision that is binding under the applicable EU or Member State law.</w:t>
      </w:r>
    </w:p>
    <w:p w14:paraId="00000081"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that the choice made by the data subject will not prejudice his/her substantive and procedural rights to seek remedies in accordance with applicable laws.</w:t>
      </w:r>
    </w:p>
    <w:p w14:paraId="00000082"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12</w:t>
      </w:r>
    </w:p>
    <w:p w14:paraId="00000083"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Liability</w:t>
      </w:r>
    </w:p>
    <w:p w14:paraId="00000084" w14:textId="77777777" w:rsidR="00E67F5D" w:rsidRDefault="00000000">
      <w:pPr>
        <w:numPr>
          <w:ilvl w:val="1"/>
          <w:numId w:val="13"/>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liable to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for any damages it causes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by any breach of these Clauses. </w:t>
      </w:r>
    </w:p>
    <w:p w14:paraId="00000085"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liable to the data subject, and the data subject shall be entitled to receive compensation, for any material or non-material damages that the Party causes the data subject by breaching the third-party beneficiary rights under these Clauses. This is without prejudice to the liability of the data exporter under Regulation (EU) 2016/679.</w:t>
      </w:r>
    </w:p>
    <w:p w14:paraId="00000086"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more than one Party is responsible for any damage caused to the data subject as a result of a breach of these Clauses, all responsible Parties shall be jointly and severally liable and the data subject is entitled to bring an action in court against any of these Parties.</w:t>
      </w:r>
    </w:p>
    <w:p w14:paraId="00000087"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that if one Party is held liable under paragraph (c), it shall be entitled to claim back from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that part of the compensation corresponding to its / their responsibility for the damage.</w:t>
      </w:r>
    </w:p>
    <w:p w14:paraId="00000088"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may not invoke the conduct of a processor or sub-processor to avoid its own liability.</w:t>
      </w:r>
    </w:p>
    <w:p w14:paraId="00000089" w14:textId="77777777" w:rsidR="00E67F5D" w:rsidRDefault="00E67F5D">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8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Clause 13</w:t>
      </w:r>
    </w:p>
    <w:p w14:paraId="0000008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Supervision</w:t>
      </w:r>
    </w:p>
    <w:p w14:paraId="0000008C" w14:textId="77777777" w:rsidR="00E67F5D" w:rsidRDefault="00E67F5D">
      <w:pPr>
        <w:spacing w:before="120" w:after="120" w:line="240" w:lineRule="auto"/>
        <w:jc w:val="center"/>
        <w:rPr>
          <w:rFonts w:ascii="Times New Roman" w:eastAsia="Times New Roman" w:hAnsi="Times New Roman" w:cs="Times New Roman"/>
          <w:b/>
          <w:i/>
          <w:sz w:val="24"/>
          <w:szCs w:val="24"/>
        </w:rPr>
      </w:pPr>
    </w:p>
    <w:p w14:paraId="0000008D" w14:textId="77777777" w:rsidR="00E67F5D"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supervisory authority with responsibility for ensuring compliance by the data exporter with Regulation (EU) 2016/679 as regards the data transfer, as indicated in Annex I.C, shall act as competent supervisory authority.</w:t>
      </w:r>
    </w:p>
    <w:p w14:paraId="0000008E"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8F" w14:textId="77777777" w:rsidR="00E67F5D"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submit itself to the jurisdiction of and cooperate with the competent supervisory authority in any procedures aimed at ensuring compliance with these Clauses. In particular, the data importer agrees to respond to enquiries, submit to audits and comply with the measures adopted by the supervisory authority, including remedial and compensatory measures. It shall provide the supervisory authority with written confirmation that the necessary actions have been taken.</w:t>
      </w:r>
    </w:p>
    <w:p w14:paraId="00000090" w14:textId="77777777" w:rsidR="00E67F5D" w:rsidRDefault="00E67F5D">
      <w:pPr>
        <w:spacing w:before="120" w:after="120" w:line="240" w:lineRule="auto"/>
        <w:jc w:val="center"/>
        <w:rPr>
          <w:rFonts w:ascii="Times New Roman" w:eastAsia="Times New Roman" w:hAnsi="Times New Roman" w:cs="Times New Roman"/>
          <w:b/>
          <w:sz w:val="24"/>
          <w:szCs w:val="24"/>
          <w:u w:val="single"/>
        </w:rPr>
      </w:pPr>
    </w:p>
    <w:p w14:paraId="00000091" w14:textId="77777777" w:rsidR="00E67F5D" w:rsidRDefault="00E67F5D">
      <w:pPr>
        <w:spacing w:before="120" w:after="120" w:line="240" w:lineRule="auto"/>
        <w:jc w:val="center"/>
        <w:rPr>
          <w:rFonts w:ascii="Times New Roman" w:eastAsia="Times New Roman" w:hAnsi="Times New Roman" w:cs="Times New Roman"/>
          <w:b/>
          <w:sz w:val="24"/>
          <w:szCs w:val="24"/>
          <w:u w:val="single"/>
        </w:rPr>
      </w:pPr>
    </w:p>
    <w:p w14:paraId="00000092"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III – LOCAL LAWS AND OBLIGATIONS IN CASE OF ACCESS BY PUBLIC AUTHORITIES</w:t>
      </w:r>
    </w:p>
    <w:p w14:paraId="00000093"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14</w:t>
      </w:r>
    </w:p>
    <w:p w14:paraId="00000094" w14:textId="77777777" w:rsidR="00E67F5D"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Local laws and practices affecting compliance with the Clauses</w:t>
      </w:r>
    </w:p>
    <w:p w14:paraId="00000095" w14:textId="77777777" w:rsidR="00E67F5D" w:rsidRDefault="00000000">
      <w:pPr>
        <w:numPr>
          <w:ilvl w:val="1"/>
          <w:numId w:val="8"/>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warrant that they have no reason to believe that the laws and practices in the third country of destination applicable to the processing of the personal data by the data importer, including any requirements to disclose personal data or measures authorising access by public authorities, prevent the data importer from fulfilling its obligations under these Clauses. This is based on the understanding that laws and practices that respect the essence of the fundamental rights and freedoms and do not exceed what is necessary and proportionate in a democratic society to safeguard one of the objectives listed in Article 23(1) of Regulation (EU) 2016/679, are not in contradiction with these Clauses.</w:t>
      </w:r>
    </w:p>
    <w:p w14:paraId="00000096"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declare that in providing the warranty in paragraph (a), they have taken due account in particular of the following elements:</w:t>
      </w:r>
    </w:p>
    <w:p w14:paraId="00000097"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specific circumstances of the transfer, including the length of the processing chain, the number of actors involved and the transmission channels used; intended onward transfers; the type of recipient; the purpose of processing; the categories and format of the transferred personal data; the economic sector in which the transfer occurs; the storage location of the data transferred; </w:t>
      </w:r>
    </w:p>
    <w:p w14:paraId="00000098"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laws and practices of the third country of destination– including those requiring the disclosure of data to public authorities or authorising access by such authorities – relevant in light of the specific circumstances of the transfer, and the applicable limitations and safeguards</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xml:space="preserve">; </w:t>
      </w:r>
    </w:p>
    <w:p w14:paraId="00000099"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any relevant contractual, technical or organisational safeguards put in place to supplement the safeguards under these Clauses, including measures applied during transmission and to the processing of the personal data in the country of destination.</w:t>
      </w:r>
    </w:p>
    <w:p w14:paraId="0000009A"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warrants that, in carrying out the assessment under paragraph (b), it has made its best efforts to provide the data exporter with relevant information and agrees that it will continue to cooperate with the data exporter in ensuring compliance with these Clauses.</w:t>
      </w:r>
    </w:p>
    <w:p w14:paraId="0000009B"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to document the assessment under paragraph (b) and make it available to the competent supervisory authority on request.</w:t>
      </w:r>
    </w:p>
    <w:p w14:paraId="0000009C"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notify the data exporter promptly if, after having agreed to these Clauses and for the duration of the contract, it has reason to believe that it is or has become subject to laws or practices not in line with the requirements under paragraph (a), including following a change in the laws of the third country or a measure (such as a disclosure request) indicating an application of such laws in practice that is not in line with the requirements in paragraph (a). [For Module Three: The data exporter shall forward the notification to the controller.]</w:t>
      </w:r>
    </w:p>
    <w:p w14:paraId="0000009D"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Following a notification pursuant to paragraph (e), or if the data exporter otherwise has reason to believe that the data importer can no longer fulfil its obligations under these Clauses, the data exporter shall promptly identify appropriate measures (e.g. technical or organisational measures to ensure security and confidentiality) to be adopted by the data exporter and/or data importer to address the situation [for Module Three: , if appropriate in consultation with the controller]. The data exporter shall suspend the data transfer if it considers that no appropriate safeguards for such transfer can be ensured, or if instructed by [for Module Three: the controller or] the competent supervisory authority to do so. In this case, the data exporter shall be entitled to terminate the contract, insofar as it concerns the processing of personal data under these Clauses. If the contract involves more than two Parties, the data exporter may exercise this right to termination only with respect to the relevant Party, unless the Parties have agreed otherwise. Where the contract is terminated pursuant to this Clause, Clause 16(d) and (e) shall apply. </w:t>
      </w:r>
      <w:r>
        <w:rPr>
          <w:rFonts w:ascii="Times New Roman" w:eastAsia="Times New Roman" w:hAnsi="Times New Roman" w:cs="Times New Roman"/>
          <w:color w:val="444444"/>
          <w:sz w:val="27"/>
          <w:szCs w:val="27"/>
          <w:highlight w:val="white"/>
        </w:rPr>
        <w:t xml:space="preserve"> </w:t>
      </w:r>
    </w:p>
    <w:p w14:paraId="0000009E"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15</w:t>
      </w:r>
    </w:p>
    <w:p w14:paraId="0000009F"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Obligations of the data importer in case of access by public authorities</w:t>
      </w:r>
    </w:p>
    <w:p w14:paraId="000000A0" w14:textId="77777777" w:rsidR="00E67F5D"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15.1</w:t>
      </w:r>
      <w:r>
        <w:rPr>
          <w:rFonts w:ascii="Times New Roman" w:eastAsia="Times New Roman" w:hAnsi="Times New Roman" w:cs="Times New Roman"/>
          <w:b/>
          <w:sz w:val="24"/>
          <w:szCs w:val="24"/>
        </w:rPr>
        <w:tab/>
        <w:t>Notification</w:t>
      </w:r>
    </w:p>
    <w:p w14:paraId="000000A1"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data importer agrees to notify the data exporter and, where possible, the data subject promptly (if necessary with the help of the data exporter) if it: </w:t>
      </w:r>
    </w:p>
    <w:p w14:paraId="000000A2" w14:textId="77777777" w:rsidR="00E67F5D"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receives a legally binding request from a public authority, including judicial authorities, under the laws of the country of destination for the disclosure of personal data transferred pursuant to these Clauses; such notification shall include information about the personal data requested, the requesting authority, the legal basis for the request and the response provided; or</w:t>
      </w:r>
    </w:p>
    <w:p w14:paraId="000000A3" w14:textId="77777777" w:rsidR="00E67F5D"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becomes aware of any direct access by public authorities to personal data transferred pursuant to these Clauses in accordance with the laws of the country of destination; such notification shall include all information available to the importer.</w:t>
      </w:r>
    </w:p>
    <w:p w14:paraId="000000A4"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[For Module Three: The data exporter shall forward the notification to the controller.]</w:t>
      </w:r>
    </w:p>
    <w:p w14:paraId="000000A5"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the data importer is prohibited from notifying the data exporter and/or the data subject under the laws of the country of destination, the data importer agrees to use its best efforts to obtain a waiver of the prohibition, with a view to communicating as much information as possible, as soon as possible. The data importer agrees to document its best efforts in order to be able to demonstrate them on request of the data exporter. </w:t>
      </w:r>
    </w:p>
    <w:p w14:paraId="000000A6"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permissible under the laws of the country of destination, the data importer agrees to provide the data exporter, at regular intervals for the duration of the contract, with as much relevant information as possible on the requests received (in particular, number of requests, type of data requested, requesting authority/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whether requests have been challenged and the outcome of such challenges, etc.). [For Module Three: The data exporter shall forward the information to the controller.]</w:t>
      </w:r>
    </w:p>
    <w:p w14:paraId="000000A7"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agrees to preserve the information pursuant to paragraphs (a) to (c) for the duration of the contract and make it available to the competent supervisory authority on request. </w:t>
      </w:r>
    </w:p>
    <w:p w14:paraId="000000A8"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Paragraphs (a) to (c) are without prejudice to the obligation of the data importer pursuant to Clause 14(e) and Clause 16 to inform the data exporter promptly where it is unable to comply with these Clauses.</w:t>
      </w:r>
    </w:p>
    <w:p w14:paraId="000000A9"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15.2</w:t>
      </w:r>
      <w:r>
        <w:rPr>
          <w:rFonts w:ascii="Times New Roman" w:eastAsia="Times New Roman" w:hAnsi="Times New Roman" w:cs="Times New Roman"/>
          <w:b/>
          <w:sz w:val="24"/>
          <w:szCs w:val="24"/>
        </w:rPr>
        <w:tab/>
        <w:t>Review of legality and data minimisation</w:t>
      </w:r>
    </w:p>
    <w:p w14:paraId="000000AA"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review the legality of the request for disclosure, in particular whether it remains within the powers granted to the requesting public authority, and to challenge the request if, after careful assessment, it concludes that there are reasonable grounds to consider that the request is unlawful under the laws of the country of destination, applicable obligations under international law and principles of international comity. The data importer shall, under the same conditions, pursue possibilities of appeal. When challenging a request, the data importer shall seek interim measures with a view to suspending the effects of the request until the competent judicial authority has decided on its merits. It shall not disclose the personal data requested until required to do so under the applicable procedural rules. These requirements are without prejudice to the obligations of the data importer under Clause 14(e).</w:t>
      </w:r>
    </w:p>
    <w:p w14:paraId="000000AB"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data importer agrees to document its legal assessment and any challenge to the request for disclosure and, to the extent permissible under the laws of the country of destination, make the documentation available to the data exporter. It shall also make it available to the competent supervisory authority on request. [For Module Three: The data exporter shall make the assessment available to the controller.] </w:t>
      </w:r>
    </w:p>
    <w:p w14:paraId="000000AC"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provide the minimum amount of information permissible when responding to a request for disclosure, based on a reasonable interpretation of the request.</w:t>
      </w:r>
    </w:p>
    <w:p w14:paraId="000000AD" w14:textId="77777777" w:rsidR="00E67F5D" w:rsidRDefault="00E67F5D">
      <w:pPr>
        <w:spacing w:before="120" w:after="120" w:line="240" w:lineRule="auto"/>
        <w:ind w:left="850"/>
        <w:jc w:val="both"/>
        <w:rPr>
          <w:rFonts w:ascii="Times New Roman" w:eastAsia="Times New Roman" w:hAnsi="Times New Roman" w:cs="Times New Roman"/>
          <w:sz w:val="24"/>
          <w:szCs w:val="24"/>
        </w:rPr>
      </w:pPr>
    </w:p>
    <w:p w14:paraId="000000AE"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IV – FINAL PROVISIONS</w:t>
      </w:r>
    </w:p>
    <w:p w14:paraId="000000AF"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16</w:t>
      </w:r>
    </w:p>
    <w:p w14:paraId="000000B0"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Non-compliance with the Clauses and termination</w:t>
      </w:r>
    </w:p>
    <w:p w14:paraId="000000B1"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promptly inform the data exporter if it is unable to comply with these Clauses, for whatever reason. </w:t>
      </w:r>
    </w:p>
    <w:p w14:paraId="000000B2"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that the data importer is in breach of these Clauses or unable to comply with these Clauses, the data exporter shall suspend the transfer of personal data to the data importer until compliance is again ensured or the contract is terminated. This is without prejudice to Clause 14(f).</w:t>
      </w:r>
    </w:p>
    <w:p w14:paraId="000000B3"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exporter shall be entitled to terminate the contract, insofar as it concerns the processing of personal data under these Clauses, where:</w:t>
      </w:r>
    </w:p>
    <w:p w14:paraId="000000B4"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exporter has suspended the transfer of personal data to the data importer pursuant to paragraph (b) and compliance with these Clauses is not restored within a reasonable time and in any event within one month of suspension; </w:t>
      </w:r>
    </w:p>
    <w:p w14:paraId="000000B5"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is in substantial or persistent breach of these Clauses; or</w:t>
      </w:r>
    </w:p>
    <w:p w14:paraId="000000B6"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fails to comply with a binding decision of a competent court or supervisory authority regarding its obligations under these Clauses.</w:t>
      </w:r>
    </w:p>
    <w:p w14:paraId="000000B7"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these cases, it shall inform the competent supervisory authority [for Module Three: and the controller] of such non-compliance. Where the contract involves more than two Parties, the data exporter may exercise this right to termination only with respect to the relevant Party, unless the Parties have agreed otherwise. </w:t>
      </w:r>
    </w:p>
    <w:p w14:paraId="000000B8"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Modules One, Two and Three: Personal data that has been transferred prior to the termination of the contract pursuant to paragraph (c) shall at the choice of the data exporter immediately be returned to the data exporter or deleted in its entirety. The same shall apply to any copies of the data.] [For Module Four: Personal data collected by the data exporter in the EU that has been transferred prior to the termination of the contract pursuant to paragraph (c) shall immediately be deleted in its entirety, including any copy thereof.] The data importer shall certify the deletion of the data to the data exporter. Until the data is deleted or returned, the data importer shall continue to ensure compliance with these Clauses. In case of local laws applicable to the data importer that prohibit the return or deletion of the transferred personal data, the data importer warrants that it will continue to ensure compliance with these Clauses and will only process the data to the extent and for as long as required under that local law. </w:t>
      </w:r>
    </w:p>
    <w:p w14:paraId="000000B9"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Either Party may revoke its agreement to be bound by these Clauses where (i) the European Commission adopts a decision pursuant to Article 45(3) of Regulation (EU) 2016/679 that covers the transfer of personal data to which these Clauses apply; or (ii) Regulation (EU) 2016/679 becomes part of the legal framework of the country to which the personal data is transferred. This is without prejudice to other obligations applying to the processing in question under Regulation (EU) 2016/679. </w:t>
      </w:r>
    </w:p>
    <w:p w14:paraId="000000B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17</w:t>
      </w:r>
    </w:p>
    <w:p w14:paraId="000000B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Governing law</w:t>
      </w:r>
    </w:p>
    <w:p w14:paraId="000000BC"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shall be governed by the law of one of the EU Member States, provided such law allows for third-party beneficiary rights. The Parties agree that this shall be the law of  Belgium.</w:t>
      </w:r>
    </w:p>
    <w:p w14:paraId="000000BD"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18</w:t>
      </w:r>
    </w:p>
    <w:p w14:paraId="000000BE"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Choice of forum and jurisdiction</w:t>
      </w:r>
    </w:p>
    <w:p w14:paraId="000000BF" w14:textId="77777777" w:rsidR="00E67F5D" w:rsidRDefault="00000000">
      <w:pPr>
        <w:numPr>
          <w:ilvl w:val="1"/>
          <w:numId w:val="1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Any dispute arising from these Clauses shall be resolved by the courts of an EU Member State.</w:t>
      </w:r>
    </w:p>
    <w:p w14:paraId="000000C0"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that those shall be the courts of Belgium.</w:t>
      </w:r>
    </w:p>
    <w:p w14:paraId="000000C1"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data subject may also bring legal proceedings against the data exporter and/or data importer before the courts of the Member State in which he/she has his/her habitual residence. </w:t>
      </w:r>
    </w:p>
    <w:p w14:paraId="000000C2"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to submit themselves to the jurisdiction of such courts.</w:t>
      </w:r>
    </w:p>
    <w:p w14:paraId="000000C3" w14:textId="77777777" w:rsidR="00E67F5D" w:rsidRDefault="00E67F5D">
      <w:pPr>
        <w:rPr>
          <w:rFonts w:ascii="Times New Roman" w:eastAsia="Times New Roman" w:hAnsi="Times New Roman" w:cs="Times New Roman"/>
          <w:b/>
          <w:sz w:val="24"/>
          <w:szCs w:val="24"/>
          <w:highlight w:val="lightGray"/>
        </w:rPr>
      </w:pPr>
    </w:p>
    <w:p w14:paraId="000000C4" w14:textId="77777777" w:rsidR="00E67F5D" w:rsidRDefault="00000000">
      <w:pPr>
        <w:jc w:val="both"/>
        <w:rPr>
          <w:rFonts w:ascii="Times New Roman" w:eastAsia="Times New Roman" w:hAnsi="Times New Roman" w:cs="Times New Roman"/>
          <w:sz w:val="24"/>
          <w:szCs w:val="24"/>
        </w:rPr>
      </w:pPr>
      <w:r>
        <w:br w:type="page"/>
      </w:r>
    </w:p>
    <w:p w14:paraId="000000C5"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 xml:space="preserve">APPENDIX </w:t>
      </w:r>
    </w:p>
    <w:p w14:paraId="000000C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EXPLANATORY NOTE: </w:t>
      </w:r>
    </w:p>
    <w:p w14:paraId="000000C7" w14:textId="77777777" w:rsidR="00E67F5D"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It must be possible to clearly distinguish the information applicable to each transfer or category of transfers and, in this regard, to determine the respective role(s) of the Parties as data exporter(s) and/or data importer(s). This does not necessarily require completing and signing separate appendices for each transfer/category of transfers and/or contractual relationship, where this transparency can achieved through one appendix. However, where necessary to ensure sufficient clarity, separate appendices should be used.</w:t>
      </w:r>
    </w:p>
    <w:p w14:paraId="000000C8" w14:textId="77777777" w:rsidR="00E67F5D" w:rsidRDefault="00000000">
      <w:pPr>
        <w:spacing w:before="24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ANNEX I</w:t>
      </w:r>
    </w:p>
    <w:p w14:paraId="000000C9" w14:textId="77777777" w:rsidR="00E67F5D" w:rsidRDefault="00000000">
      <w:pPr>
        <w:spacing w:before="240" w:after="120" w:line="240" w:lineRule="auto"/>
        <w:ind w:left="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 LIST OF PARTIES</w:t>
      </w:r>
    </w:p>
    <w:p w14:paraId="000000CA" w14:textId="77777777" w:rsidR="00E67F5D" w:rsidRDefault="00E67F5D">
      <w:pPr>
        <w:spacing w:before="120" w:after="120" w:line="240" w:lineRule="auto"/>
        <w:jc w:val="both"/>
        <w:rPr>
          <w:rFonts w:ascii="Times New Roman" w:eastAsia="Times New Roman" w:hAnsi="Times New Roman" w:cs="Times New Roman"/>
          <w:b/>
          <w:sz w:val="24"/>
          <w:szCs w:val="24"/>
        </w:rPr>
      </w:pPr>
    </w:p>
    <w:p w14:paraId="000000CB" w14:textId="03956B4E" w:rsidR="00E67F5D" w:rsidRPr="00277899" w:rsidRDefault="00000000">
      <w:pPr>
        <w:spacing w:before="120" w:after="120" w:line="240" w:lineRule="auto"/>
        <w:jc w:val="both"/>
        <w:rPr>
          <w:rFonts w:ascii="Times New Roman" w:eastAsia="Times New Roman" w:hAnsi="Times New Roman" w:cs="Times New Roman"/>
          <w:i/>
          <w:sz w:val="24"/>
          <w:szCs w:val="24"/>
          <w:lang w:val="nl-BE"/>
        </w:rPr>
      </w:pPr>
      <w:r w:rsidRPr="00277899">
        <w:rPr>
          <w:rFonts w:ascii="Times New Roman" w:eastAsia="Times New Roman" w:hAnsi="Times New Roman" w:cs="Times New Roman"/>
          <w:b/>
          <w:sz w:val="24"/>
          <w:szCs w:val="24"/>
          <w:lang w:val="nl-BE"/>
        </w:rPr>
        <w:t xml:space="preserve">Data </w:t>
      </w:r>
      <w:proofErr w:type="spellStart"/>
      <w:r w:rsidRPr="00277899">
        <w:rPr>
          <w:rFonts w:ascii="Times New Roman" w:eastAsia="Times New Roman" w:hAnsi="Times New Roman" w:cs="Times New Roman"/>
          <w:b/>
          <w:sz w:val="24"/>
          <w:szCs w:val="24"/>
          <w:lang w:val="nl-BE"/>
        </w:rPr>
        <w:t>exporter</w:t>
      </w:r>
      <w:proofErr w:type="spellEnd"/>
      <w:r w:rsidRPr="00277899">
        <w:rPr>
          <w:rFonts w:ascii="Times New Roman" w:eastAsia="Times New Roman" w:hAnsi="Times New Roman" w:cs="Times New Roman"/>
          <w:b/>
          <w:sz w:val="24"/>
          <w:szCs w:val="24"/>
          <w:lang w:val="nl-BE"/>
        </w:rPr>
        <w:t xml:space="preserve">(s): </w:t>
      </w:r>
    </w:p>
    <w:p w14:paraId="000000CC" w14:textId="77777777" w:rsidR="00E67F5D" w:rsidRPr="00320CF2" w:rsidRDefault="00000000">
      <w:pPr>
        <w:spacing w:before="120" w:after="120" w:line="240" w:lineRule="auto"/>
        <w:jc w:val="both"/>
        <w:rPr>
          <w:rFonts w:ascii="Times New Roman" w:eastAsia="Times New Roman" w:hAnsi="Times New Roman" w:cs="Times New Roman"/>
          <w:sz w:val="24"/>
          <w:szCs w:val="24"/>
          <w:lang w:val="nl-BE"/>
        </w:rPr>
      </w:pPr>
      <w:r w:rsidRPr="00320CF2">
        <w:rPr>
          <w:rFonts w:ascii="Times New Roman" w:eastAsia="Times New Roman" w:hAnsi="Times New Roman" w:cs="Times New Roman"/>
          <w:sz w:val="24"/>
          <w:szCs w:val="24"/>
          <w:lang w:val="nl-BE"/>
        </w:rPr>
        <w:t>1. Name:  Agentschap Wegen en Verkeer (AWV)</w:t>
      </w:r>
    </w:p>
    <w:p w14:paraId="000000CD" w14:textId="5B10914E"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Address: </w:t>
      </w:r>
      <w:r w:rsidR="00D52B39" w:rsidRPr="00277899">
        <w:rPr>
          <w:rFonts w:ascii="Times New Roman" w:eastAsia="Times New Roman" w:hAnsi="Times New Roman" w:cs="Times New Roman"/>
          <w:sz w:val="24"/>
          <w:szCs w:val="24"/>
          <w:highlight w:val="yellow"/>
        </w:rPr>
        <w:t>[address]</w:t>
      </w:r>
    </w:p>
    <w:p w14:paraId="000000CF" w14:textId="0309B9B2"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Contact person’s name, position and contact details: </w:t>
      </w:r>
      <w:r w:rsidR="00D52B39" w:rsidRPr="00277899">
        <w:rPr>
          <w:rFonts w:ascii="Times New Roman" w:eastAsia="Times New Roman" w:hAnsi="Times New Roman" w:cs="Times New Roman"/>
          <w:sz w:val="24"/>
          <w:szCs w:val="24"/>
          <w:highlight w:val="yellow"/>
        </w:rPr>
        <w:t>[First name Last name]</w:t>
      </w:r>
      <w:r w:rsidRPr="00320CF2">
        <w:rPr>
          <w:rFonts w:ascii="Times New Roman" w:eastAsia="Times New Roman" w:hAnsi="Times New Roman" w:cs="Times New Roman"/>
          <w:sz w:val="24"/>
          <w:szCs w:val="24"/>
        </w:rPr>
        <w:t>, Data Protection Officer of the internally autonomous agency without legal personality</w:t>
      </w:r>
      <w:r w:rsidR="00320CF2">
        <w:rPr>
          <w:rFonts w:ascii="Times New Roman" w:eastAsia="Times New Roman" w:hAnsi="Times New Roman" w:cs="Times New Roman"/>
          <w:sz w:val="24"/>
          <w:szCs w:val="24"/>
        </w:rPr>
        <w:t xml:space="preserve"> </w:t>
      </w:r>
      <w:proofErr w:type="spellStart"/>
      <w:r w:rsidRPr="00320CF2">
        <w:rPr>
          <w:rFonts w:ascii="Times New Roman" w:eastAsia="Times New Roman" w:hAnsi="Times New Roman" w:cs="Times New Roman"/>
          <w:sz w:val="24"/>
          <w:szCs w:val="24"/>
        </w:rPr>
        <w:t>Agentschap</w:t>
      </w:r>
      <w:proofErr w:type="spellEnd"/>
      <w:r w:rsidRPr="00320CF2">
        <w:rPr>
          <w:rFonts w:ascii="Times New Roman" w:eastAsia="Times New Roman" w:hAnsi="Times New Roman" w:cs="Times New Roman"/>
          <w:sz w:val="24"/>
          <w:szCs w:val="24"/>
        </w:rPr>
        <w:t xml:space="preserve"> </w:t>
      </w:r>
      <w:proofErr w:type="spellStart"/>
      <w:r w:rsidRPr="00320CF2">
        <w:rPr>
          <w:rFonts w:ascii="Times New Roman" w:eastAsia="Times New Roman" w:hAnsi="Times New Roman" w:cs="Times New Roman"/>
          <w:sz w:val="24"/>
          <w:szCs w:val="24"/>
        </w:rPr>
        <w:t>Wegen</w:t>
      </w:r>
      <w:proofErr w:type="spellEnd"/>
      <w:r w:rsidRPr="00320CF2">
        <w:rPr>
          <w:rFonts w:ascii="Times New Roman" w:eastAsia="Times New Roman" w:hAnsi="Times New Roman" w:cs="Times New Roman"/>
          <w:sz w:val="24"/>
          <w:szCs w:val="24"/>
        </w:rPr>
        <w:t xml:space="preserve"> en </w:t>
      </w:r>
      <w:proofErr w:type="spellStart"/>
      <w:r w:rsidRPr="00320CF2">
        <w:rPr>
          <w:rFonts w:ascii="Times New Roman" w:eastAsia="Times New Roman" w:hAnsi="Times New Roman" w:cs="Times New Roman"/>
          <w:sz w:val="24"/>
          <w:szCs w:val="24"/>
        </w:rPr>
        <w:t>Verkeer</w:t>
      </w:r>
      <w:proofErr w:type="spellEnd"/>
      <w:r w:rsidRPr="00320CF2">
        <w:rPr>
          <w:rFonts w:ascii="Times New Roman" w:eastAsia="Times New Roman" w:hAnsi="Times New Roman" w:cs="Times New Roman"/>
          <w:sz w:val="24"/>
          <w:szCs w:val="24"/>
        </w:rPr>
        <w:t xml:space="preserve"> (</w:t>
      </w:r>
      <w:r w:rsidR="00D52B39" w:rsidRPr="00277899">
        <w:rPr>
          <w:rFonts w:ascii="Times New Roman" w:eastAsia="Times New Roman" w:hAnsi="Times New Roman" w:cs="Times New Roman"/>
          <w:sz w:val="24"/>
          <w:szCs w:val="24"/>
          <w:highlight w:val="yellow"/>
        </w:rPr>
        <w:t>[DPO mail address]</w:t>
      </w:r>
      <w:r w:rsidRPr="00320CF2">
        <w:rPr>
          <w:rFonts w:ascii="Times New Roman" w:eastAsia="Times New Roman" w:hAnsi="Times New Roman" w:cs="Times New Roman"/>
          <w:sz w:val="24"/>
          <w:szCs w:val="24"/>
        </w:rPr>
        <w:t>)</w:t>
      </w:r>
    </w:p>
    <w:p w14:paraId="000000D0"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Activities relevant to the data transferred under these Clauses: </w:t>
      </w:r>
    </w:p>
    <w:p w14:paraId="000000D1"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AWV is the road operator for regional roads and highways in the Flemish region of Belgium. </w:t>
      </w:r>
    </w:p>
    <w:p w14:paraId="000000D2"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Mobilidata is a program of the Flemish government in which governments, companies and researchers work together to develop and implement innovative technological traffic solutions. The goal is to make traffic safer, smoother, more sustainable and more comfortable for all road users. This is achieved by using intelligent data and technologies such as intelligent traffic lights, improved route advice and customized traffic reports. The Mobilidata program consists of various new applications that contribute to smoother, more sustainable, more comfortable and safer traffic.</w:t>
      </w:r>
    </w:p>
    <w:p w14:paraId="000000D3"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AWV plays a crucial role in this program. The program realized a platform that connects intelligent ICT systems, built into the new road infrastructure, with road users. AWV has been given the task of designing, constructing, maintaining this “Mobilidata” platform, and managing and technically exploiting the electromechanical and telematics equipment.</w:t>
      </w:r>
    </w:p>
    <w:p w14:paraId="000000D4"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In order to be able to provide these new or improved services to road users, AWV relies on the connection of and data exchange with service providers. These service providers provide traffic information services to their connected road users or partners who have the link with the road users.</w:t>
      </w:r>
    </w:p>
    <w:p w14:paraId="000000D5"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AWV provides traffic-related data via the Mobilidata Interchange to connected parties, subject to the restrictions and obligations of the main Agreement, including but not limited to article 5, 6 and 7 of the main Agreement. This data may only be used within the framework of the explicitly agreed Use Cases and objectives. The exchange of data under the main  Agreement is limited to real-time and/or near-time traffic information specifically related to the agreed use cases. These use cases are described in detail in </w:t>
      </w:r>
      <w:r w:rsidRPr="00320CF2">
        <w:rPr>
          <w:rFonts w:ascii="Times New Roman" w:eastAsia="Times New Roman" w:hAnsi="Times New Roman" w:cs="Times New Roman"/>
          <w:sz w:val="24"/>
          <w:szCs w:val="24"/>
        </w:rPr>
        <w:lastRenderedPageBreak/>
        <w:t xml:space="preserve">Annex 1 to the Main Agreement. Use of the data for purposes other than those in the main Agreement is only permitted with the prior written consent of AWV. </w:t>
      </w:r>
    </w:p>
    <w:p w14:paraId="000000D6" w14:textId="793CC65D" w:rsidR="00E67F5D" w:rsidRPr="00320CF2" w:rsidRDefault="00000000">
      <w:pPr>
        <w:numPr>
          <w:ilvl w:val="0"/>
          <w:numId w:val="20"/>
        </w:num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In concrete terms, the data is passed on to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so that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can perform the following service: passing on data obtained from AWV to car manufacturers or other traffic information services</w:t>
      </w:r>
      <w:r w:rsidR="00B42D53">
        <w:rPr>
          <w:rFonts w:ascii="Times New Roman" w:eastAsia="Times New Roman" w:hAnsi="Times New Roman" w:cs="Times New Roman"/>
          <w:sz w:val="24"/>
          <w:szCs w:val="24"/>
        </w:rPr>
        <w:t xml:space="preserve">. </w:t>
      </w:r>
      <w:r w:rsidR="00B42D53" w:rsidRPr="00B42D53">
        <w:rPr>
          <w:rFonts w:ascii="Times New Roman" w:eastAsia="Times New Roman" w:hAnsi="Times New Roman" w:cs="Times New Roman"/>
          <w:sz w:val="24"/>
          <w:szCs w:val="24"/>
          <w:highlight w:val="yellow"/>
        </w:rPr>
        <w:t>[Update this bullet to be applicable]</w:t>
      </w:r>
    </w:p>
    <w:p w14:paraId="000000D7" w14:textId="77777777" w:rsidR="00E67F5D" w:rsidRPr="00320CF2" w:rsidRDefault="00E67F5D">
      <w:pPr>
        <w:spacing w:before="120" w:after="120" w:line="240" w:lineRule="auto"/>
        <w:ind w:left="720"/>
        <w:jc w:val="both"/>
        <w:rPr>
          <w:rFonts w:ascii="Times New Roman" w:eastAsia="Times New Roman" w:hAnsi="Times New Roman" w:cs="Times New Roman"/>
          <w:sz w:val="24"/>
          <w:szCs w:val="24"/>
        </w:rPr>
      </w:pPr>
    </w:p>
    <w:p w14:paraId="000000D8"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highlight w:val="yellow"/>
        </w:rPr>
        <w:t>Signature and date: …</w:t>
      </w:r>
    </w:p>
    <w:p w14:paraId="000000D9"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Role (controller/processor): Controller</w:t>
      </w:r>
    </w:p>
    <w:p w14:paraId="000000DA"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DB" w14:textId="5C0029BF" w:rsidR="00E67F5D" w:rsidRPr="00320CF2" w:rsidRDefault="00000000">
      <w:pPr>
        <w:spacing w:before="120" w:after="120" w:line="240" w:lineRule="auto"/>
        <w:jc w:val="both"/>
        <w:rPr>
          <w:rFonts w:ascii="Times New Roman" w:eastAsia="Times New Roman" w:hAnsi="Times New Roman" w:cs="Times New Roman"/>
          <w:i/>
          <w:sz w:val="24"/>
          <w:szCs w:val="24"/>
          <w:shd w:val="clear" w:color="auto" w:fill="FF9900"/>
        </w:rPr>
      </w:pPr>
      <w:r w:rsidRPr="00320CF2">
        <w:rPr>
          <w:rFonts w:ascii="Times New Roman" w:eastAsia="Times New Roman" w:hAnsi="Times New Roman" w:cs="Times New Roman"/>
          <w:b/>
          <w:sz w:val="24"/>
          <w:szCs w:val="24"/>
        </w:rPr>
        <w:t xml:space="preserve">Data importer(s): </w:t>
      </w:r>
    </w:p>
    <w:p w14:paraId="000000DC" w14:textId="66A4EC11" w:rsidR="00E67F5D" w:rsidRPr="00320CF2" w:rsidRDefault="00000000">
      <w:pPr>
        <w:spacing w:before="120" w:after="120" w:line="240" w:lineRule="auto"/>
        <w:jc w:val="both"/>
        <w:rPr>
          <w:rFonts w:ascii="Times New Roman" w:eastAsia="Times New Roman" w:hAnsi="Times New Roman" w:cs="Times New Roman"/>
          <w:sz w:val="24"/>
          <w:szCs w:val="24"/>
          <w:highlight w:val="yellow"/>
          <w:shd w:val="clear" w:color="auto" w:fill="FF9900"/>
        </w:rPr>
      </w:pPr>
      <w:r w:rsidRPr="00320CF2">
        <w:rPr>
          <w:rFonts w:ascii="Times New Roman" w:eastAsia="Times New Roman" w:hAnsi="Times New Roman" w:cs="Times New Roman"/>
          <w:sz w:val="24"/>
          <w:szCs w:val="24"/>
          <w:highlight w:val="yellow"/>
        </w:rPr>
        <w:t>1.Name</w:t>
      </w:r>
      <w:r w:rsidR="00320CF2" w:rsidRPr="00320CF2">
        <w:rPr>
          <w:rFonts w:ascii="Times New Roman" w:eastAsia="Times New Roman" w:hAnsi="Times New Roman" w:cs="Times New Roman"/>
          <w:sz w:val="24"/>
          <w:szCs w:val="24"/>
          <w:highlight w:val="yellow"/>
        </w:rPr>
        <w:t xml:space="preserve"> Service Provider</w:t>
      </w:r>
      <w:r w:rsidRPr="00320CF2">
        <w:rPr>
          <w:rFonts w:ascii="Times New Roman" w:eastAsia="Times New Roman" w:hAnsi="Times New Roman" w:cs="Times New Roman"/>
          <w:sz w:val="24"/>
          <w:szCs w:val="24"/>
          <w:highlight w:val="yellow"/>
        </w:rPr>
        <w:t>:</w:t>
      </w:r>
      <w:r w:rsidRPr="00320CF2">
        <w:rPr>
          <w:rFonts w:ascii="Times New Roman" w:eastAsia="Times New Roman" w:hAnsi="Times New Roman" w:cs="Times New Roman"/>
          <w:sz w:val="24"/>
          <w:szCs w:val="24"/>
          <w:highlight w:val="yellow"/>
          <w:shd w:val="clear" w:color="auto" w:fill="FF9900"/>
        </w:rPr>
        <w:t xml:space="preserve"> </w:t>
      </w:r>
    </w:p>
    <w:p w14:paraId="000000DD" w14:textId="6A33F758" w:rsidR="00E67F5D" w:rsidRPr="00320CF2" w:rsidRDefault="00000000">
      <w:pPr>
        <w:spacing w:before="120" w:after="120" w:line="240" w:lineRule="auto"/>
        <w:jc w:val="both"/>
        <w:rPr>
          <w:rFonts w:ascii="Times New Roman" w:eastAsia="Times New Roman" w:hAnsi="Times New Roman" w:cs="Times New Roman"/>
          <w:sz w:val="24"/>
          <w:szCs w:val="24"/>
          <w:highlight w:val="yellow"/>
          <w:shd w:val="clear" w:color="auto" w:fill="FF9900"/>
        </w:rPr>
      </w:pPr>
      <w:r w:rsidRPr="00320CF2">
        <w:rPr>
          <w:rFonts w:ascii="Times New Roman" w:eastAsia="Times New Roman" w:hAnsi="Times New Roman" w:cs="Times New Roman"/>
          <w:sz w:val="24"/>
          <w:szCs w:val="24"/>
          <w:highlight w:val="yellow"/>
        </w:rPr>
        <w:t>Address:</w:t>
      </w:r>
      <w:r w:rsidRPr="00320CF2">
        <w:rPr>
          <w:rFonts w:ascii="Times New Roman" w:eastAsia="Times New Roman" w:hAnsi="Times New Roman" w:cs="Times New Roman"/>
          <w:sz w:val="24"/>
          <w:szCs w:val="24"/>
          <w:highlight w:val="yellow"/>
          <w:shd w:val="clear" w:color="auto" w:fill="FF9900"/>
        </w:rPr>
        <w:t xml:space="preserve"> </w:t>
      </w:r>
    </w:p>
    <w:p w14:paraId="000000DE" w14:textId="77777777" w:rsidR="00E67F5D" w:rsidRPr="00320CF2"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highlight w:val="yellow"/>
        </w:rPr>
        <w:t>Contact person’s name, position and contact details: …</w:t>
      </w:r>
    </w:p>
    <w:p w14:paraId="000000DF" w14:textId="77777777" w:rsidR="00E67F5D" w:rsidRPr="00320CF2"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Activities relevant to the data transferred under these Clauses:</w:t>
      </w:r>
      <w:r w:rsidRPr="00320CF2">
        <w:rPr>
          <w:rFonts w:ascii="Times New Roman" w:eastAsia="Times New Roman" w:hAnsi="Times New Roman" w:cs="Times New Roman"/>
          <w:sz w:val="24"/>
          <w:szCs w:val="24"/>
          <w:shd w:val="clear" w:color="auto" w:fill="FF9900"/>
        </w:rPr>
        <w:t xml:space="preserve"> </w:t>
      </w:r>
    </w:p>
    <w:p w14:paraId="000000E0" w14:textId="6DBEE496" w:rsidR="00E67F5D" w:rsidRPr="00320CF2" w:rsidRDefault="00B42D53">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is a participant and user of smart mobility services from the Mobilidata portfolio.</w:t>
      </w:r>
    </w:p>
    <w:p w14:paraId="000000E1" w14:textId="27659AAF" w:rsidR="00E67F5D" w:rsidRPr="00320CF2" w:rsidRDefault="00B42D53">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has the right to use the access to data and other services provided by AWV, strictly limited to the realization of the Purpose and the agreed Use Cases for the duration of the Main Agreement. The Parties collaborate with the aim of providing innovative technological traffic solutions to road users by sharing real-time and/or near-time relevant data via the Mobilidata Interchange. This collaboration is focused on improving road safety, traffic flow, and sustainability (Art. 2 Main Agreement).</w:t>
      </w:r>
    </w:p>
    <w:p w14:paraId="000000E3" w14:textId="77777777" w:rsidR="00E67F5D" w:rsidRPr="00320CF2" w:rsidRDefault="00000000">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The data exchange takes place within the framework of the agreed use cases, which are explicitly described and formulated by AWV in Annex 1 to the Main Agreement.</w:t>
      </w:r>
    </w:p>
    <w:p w14:paraId="000000E4" w14:textId="6CDD6416" w:rsidR="00E67F5D" w:rsidRPr="00320CF2" w:rsidRDefault="00000000">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 xml:space="preserve">When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passes on the data to a third party, the same obligations and conditions imposed on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under this Agreement shall be imposed on the third party through an agreement or other legal instrument pursuant to EU or national law (Art. 9.2. </w:t>
      </w:r>
      <w:proofErr w:type="spellStart"/>
      <w:r w:rsidRPr="00320CF2">
        <w:rPr>
          <w:rFonts w:ascii="Times New Roman" w:eastAsia="Times New Roman" w:hAnsi="Times New Roman" w:cs="Times New Roman"/>
          <w:sz w:val="24"/>
          <w:szCs w:val="24"/>
        </w:rPr>
        <w:t>Hoofdovereenkomst</w:t>
      </w:r>
      <w:proofErr w:type="spellEnd"/>
      <w:r w:rsidRPr="00320CF2">
        <w:rPr>
          <w:rFonts w:ascii="Times New Roman" w:eastAsia="Times New Roman" w:hAnsi="Times New Roman" w:cs="Times New Roman"/>
          <w:sz w:val="24"/>
          <w:szCs w:val="24"/>
        </w:rPr>
        <w:t>).</w:t>
      </w:r>
      <w:r w:rsidRPr="00320CF2">
        <w:rPr>
          <w:rFonts w:ascii="Times New Roman" w:eastAsia="Times New Roman" w:hAnsi="Times New Roman" w:cs="Times New Roman"/>
          <w:sz w:val="24"/>
          <w:szCs w:val="24"/>
          <w:shd w:val="clear" w:color="auto" w:fill="FF9900"/>
        </w:rPr>
        <w:t xml:space="preserve"> </w:t>
      </w:r>
    </w:p>
    <w:p w14:paraId="000000E6"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highlight w:val="yellow"/>
        </w:rPr>
        <w:t>Signature and date: …</w:t>
      </w:r>
    </w:p>
    <w:p w14:paraId="000000E7"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Role (controller/processor): Controller</w:t>
      </w:r>
    </w:p>
    <w:p w14:paraId="000000E8"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E9" w14:textId="77777777" w:rsidR="00E67F5D" w:rsidRDefault="00000000">
      <w:pPr>
        <w:spacing w:before="240" w:after="120" w:line="240" w:lineRule="auto"/>
        <w:ind w:left="851"/>
        <w:jc w:val="both"/>
        <w:rPr>
          <w:rFonts w:ascii="Times New Roman" w:eastAsia="Times New Roman" w:hAnsi="Times New Roman" w:cs="Times New Roman"/>
          <w:b/>
          <w:sz w:val="24"/>
          <w:szCs w:val="24"/>
          <w:highlight w:val="lightGray"/>
        </w:rPr>
      </w:pPr>
      <w:bookmarkStart w:id="1" w:name="_heading=h.8fx2x4lp375h" w:colFirst="0" w:colLast="0"/>
      <w:bookmarkEnd w:id="1"/>
      <w:r>
        <w:rPr>
          <w:rFonts w:ascii="Times New Roman" w:eastAsia="Times New Roman" w:hAnsi="Times New Roman" w:cs="Times New Roman"/>
          <w:b/>
          <w:sz w:val="24"/>
          <w:szCs w:val="24"/>
        </w:rPr>
        <w:t>B. DESCRIPTION OF TRANSFER</w:t>
      </w:r>
    </w:p>
    <w:p w14:paraId="000000EA"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Categories of data subjects whose personal data is transferred</w:t>
      </w:r>
    </w:p>
    <w:p w14:paraId="000000EB" w14:textId="77777777" w:rsidR="00E67F5D" w:rsidRPr="00320CF2" w:rsidRDefault="00000000">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Drivers of emergency service vehicles in Flanders, Belgium and border areas of Flanders</w:t>
      </w:r>
    </w:p>
    <w:p w14:paraId="000000EC" w14:textId="77777777" w:rsidR="00E67F5D" w:rsidRPr="00320CF2" w:rsidRDefault="00000000">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Drivers of impact protection vehicles, service or construction vehicles in Flanders, Belgium and border areas of Flanders</w:t>
      </w:r>
    </w:p>
    <w:p w14:paraId="48786BAE" w14:textId="297D5C3D" w:rsidR="00320CF2" w:rsidRPr="00320CF2" w:rsidRDefault="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0ED"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0EE"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lastRenderedPageBreak/>
        <w:t>Categories of personal data transferred</w:t>
      </w:r>
    </w:p>
    <w:p w14:paraId="000000EF"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Pseudonym ID</w:t>
      </w:r>
    </w:p>
    <w:p w14:paraId="000000F0"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Real-time location data of priority vehicles and (if known) type of priority vehicle</w:t>
      </w:r>
    </w:p>
    <w:p w14:paraId="000000F1"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Real-time location data of impact protection vehicles, service or construction vehicles during interventions or road works and type of vehicle</w:t>
      </w:r>
    </w:p>
    <w:p w14:paraId="3D81CED3" w14:textId="6A109F52" w:rsidR="00320CF2" w:rsidRPr="00320CF2" w:rsidRDefault="00320CF2" w:rsidP="00320CF2">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0F2" w14:textId="77777777" w:rsidR="00E67F5D" w:rsidRPr="00320CF2" w:rsidRDefault="00E67F5D">
      <w:pPr>
        <w:spacing w:before="120" w:after="120" w:line="240" w:lineRule="auto"/>
        <w:ind w:left="720"/>
        <w:jc w:val="both"/>
        <w:rPr>
          <w:rFonts w:ascii="Times New Roman" w:eastAsia="Times New Roman" w:hAnsi="Times New Roman" w:cs="Times New Roman"/>
          <w:iCs/>
          <w:sz w:val="24"/>
          <w:szCs w:val="24"/>
        </w:rPr>
      </w:pPr>
    </w:p>
    <w:p w14:paraId="000000F3"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Sensitive data transferred (if applicable) and applied restrictions or safeguards that fully take into consideration the nature of the data and the risks involved, such as for instance strict purpose limitation, access restrictions (including access only for staff having followed specialised training), keeping a record of access to the data, restrictions for onward transfers or additional security measures.</w:t>
      </w:r>
    </w:p>
    <w:p w14:paraId="1ABCE9DA"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2F431979" w14:textId="77777777" w:rsidR="00320CF2" w:rsidRDefault="00320CF2">
      <w:pPr>
        <w:spacing w:before="120" w:after="120" w:line="240" w:lineRule="auto"/>
        <w:jc w:val="both"/>
        <w:rPr>
          <w:rFonts w:ascii="Times New Roman" w:eastAsia="Times New Roman" w:hAnsi="Times New Roman" w:cs="Times New Roman"/>
          <w:iCs/>
          <w:sz w:val="24"/>
          <w:szCs w:val="24"/>
        </w:rPr>
      </w:pPr>
    </w:p>
    <w:p w14:paraId="000000F5" w14:textId="5760950E"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The frequency of the transfer (e.g. whether the data is transferred on a one-off or continuous basis).</w:t>
      </w:r>
    </w:p>
    <w:p w14:paraId="3C34F333"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F6C06BE" w14:textId="77777777" w:rsidR="00320CF2" w:rsidRDefault="00320CF2">
      <w:pPr>
        <w:spacing w:before="120" w:after="120" w:line="240" w:lineRule="auto"/>
        <w:jc w:val="both"/>
        <w:rPr>
          <w:rFonts w:ascii="Times New Roman" w:eastAsia="Times New Roman" w:hAnsi="Times New Roman" w:cs="Times New Roman"/>
          <w:iCs/>
          <w:sz w:val="24"/>
          <w:szCs w:val="24"/>
        </w:rPr>
      </w:pPr>
    </w:p>
    <w:p w14:paraId="000000F7" w14:textId="60E6C04C"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Nature of the processing</w:t>
      </w:r>
    </w:p>
    <w:p w14:paraId="000000F8" w14:textId="77777777" w:rsidR="00E67F5D" w:rsidRPr="00320CF2" w:rsidRDefault="00000000"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Collection, transmission, receipt, storage, aggregation, and archiving of traffic information related to specific road users</w:t>
      </w:r>
    </w:p>
    <w:p w14:paraId="640ADFFD"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6DA4BD9B" w14:textId="77777777" w:rsidR="00320CF2" w:rsidRPr="00320CF2" w:rsidRDefault="00320CF2">
      <w:pPr>
        <w:spacing w:before="120" w:after="120" w:line="240" w:lineRule="auto"/>
        <w:jc w:val="both"/>
        <w:rPr>
          <w:rFonts w:ascii="Times New Roman" w:eastAsia="Times New Roman" w:hAnsi="Times New Roman" w:cs="Times New Roman"/>
          <w:iCs/>
          <w:sz w:val="24"/>
          <w:szCs w:val="24"/>
        </w:rPr>
      </w:pPr>
    </w:p>
    <w:p w14:paraId="000000F9"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Purpose(s) of the data transfer and further processing</w:t>
      </w:r>
    </w:p>
    <w:p w14:paraId="000000FA" w14:textId="41B3D6EC"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The intended data processing by </w:t>
      </w:r>
      <w:r w:rsidR="00320CF2">
        <w:rPr>
          <w:rFonts w:ascii="Times New Roman" w:eastAsia="Times New Roman" w:hAnsi="Times New Roman" w:cs="Times New Roman"/>
          <w:iCs/>
          <w:sz w:val="24"/>
          <w:szCs w:val="24"/>
        </w:rPr>
        <w:t>Service Provider</w:t>
      </w:r>
      <w:r w:rsidRPr="00320CF2">
        <w:rPr>
          <w:rFonts w:ascii="Times New Roman" w:eastAsia="Times New Roman" w:hAnsi="Times New Roman" w:cs="Times New Roman"/>
          <w:iCs/>
          <w:sz w:val="24"/>
          <w:szCs w:val="24"/>
        </w:rPr>
        <w:t xml:space="preserve"> is carried out on the basis of</w:t>
      </w:r>
    </w:p>
    <w:p w14:paraId="000000FB" w14:textId="03CB57AF" w:rsidR="00E67F5D" w:rsidRPr="00320CF2" w:rsidRDefault="00000000">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rPr>
        <w:t xml:space="preserve">Article 6.1.f, legitimate interest, to increase the safety of the road users connected to </w:t>
      </w:r>
      <w:r w:rsidR="00B42D53">
        <w:rPr>
          <w:rFonts w:ascii="Times New Roman" w:eastAsia="Times New Roman" w:hAnsi="Times New Roman" w:cs="Times New Roman"/>
          <w:iCs/>
          <w:sz w:val="24"/>
          <w:szCs w:val="24"/>
          <w:highlight w:val="yellow"/>
        </w:rPr>
        <w:t>Service Provider</w:t>
      </w:r>
      <w:r w:rsidRPr="00320CF2">
        <w:rPr>
          <w:rFonts w:ascii="Times New Roman" w:eastAsia="Times New Roman" w:hAnsi="Times New Roman" w:cs="Times New Roman"/>
          <w:iCs/>
          <w:sz w:val="24"/>
          <w:szCs w:val="24"/>
          <w:highlight w:val="yellow"/>
        </w:rPr>
        <w:t xml:space="preserve"> (and partners).</w:t>
      </w:r>
    </w:p>
    <w:p w14:paraId="47A1670A" w14:textId="77777777" w:rsidR="00320CF2" w:rsidRPr="00320CF2" w:rsidRDefault="00320CF2" w:rsidP="00320CF2">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351A28F1" w14:textId="77777777" w:rsidR="00320CF2" w:rsidRPr="00320CF2" w:rsidRDefault="00320CF2" w:rsidP="00320CF2">
      <w:pPr>
        <w:spacing w:before="120" w:after="120" w:line="240" w:lineRule="auto"/>
        <w:ind w:left="720"/>
        <w:jc w:val="both"/>
        <w:rPr>
          <w:rFonts w:ascii="Times New Roman" w:eastAsia="Times New Roman" w:hAnsi="Times New Roman" w:cs="Times New Roman"/>
          <w:iCs/>
          <w:sz w:val="24"/>
          <w:szCs w:val="24"/>
        </w:rPr>
      </w:pPr>
    </w:p>
    <w:p w14:paraId="000000FC"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AWV originally collected the requested data for the following purposes:</w:t>
      </w:r>
    </w:p>
    <w:p w14:paraId="000000FD" w14:textId="77777777" w:rsidR="00E67F5D" w:rsidRPr="00320CF2" w:rsidRDefault="00000000">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providing and improving traffic information services to all road users, to warn road users of:</w:t>
      </w:r>
    </w:p>
    <w:p w14:paraId="000000FE" w14:textId="77777777" w:rsidR="00E67F5D" w:rsidRPr="00320CF2" w:rsidRDefault="00000000">
      <w:pPr>
        <w:numPr>
          <w:ilvl w:val="1"/>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stationary or approaching emergency services</w:t>
      </w:r>
    </w:p>
    <w:p w14:paraId="000000FF" w14:textId="77777777" w:rsidR="00E67F5D" w:rsidRDefault="00000000">
      <w:pPr>
        <w:numPr>
          <w:ilvl w:val="1"/>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impact protection vehicles, service or construction vehicles during interventions or road works</w:t>
      </w:r>
    </w:p>
    <w:p w14:paraId="3CD639D5" w14:textId="77777777" w:rsidR="00320CF2" w:rsidRPr="00320CF2" w:rsidRDefault="00320CF2" w:rsidP="00320CF2">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221FE663" w14:textId="77777777" w:rsidR="00320CF2" w:rsidRPr="00320CF2" w:rsidRDefault="00320CF2" w:rsidP="00320CF2">
      <w:pPr>
        <w:spacing w:before="120" w:after="120" w:line="240" w:lineRule="auto"/>
        <w:jc w:val="both"/>
        <w:rPr>
          <w:rFonts w:ascii="Times New Roman" w:eastAsia="Times New Roman" w:hAnsi="Times New Roman" w:cs="Times New Roman"/>
          <w:iCs/>
          <w:sz w:val="24"/>
          <w:szCs w:val="24"/>
          <w:highlight w:val="yellow"/>
        </w:rPr>
      </w:pPr>
    </w:p>
    <w:p w14:paraId="00000100" w14:textId="75BC133A"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In this specific case the data is processed by </w:t>
      </w:r>
      <w:r w:rsidR="00320CF2">
        <w:rPr>
          <w:rFonts w:ascii="Times New Roman" w:eastAsia="Times New Roman" w:hAnsi="Times New Roman" w:cs="Times New Roman"/>
          <w:iCs/>
          <w:sz w:val="24"/>
          <w:szCs w:val="24"/>
        </w:rPr>
        <w:t>Service Provider</w:t>
      </w:r>
      <w:r w:rsidRPr="00320CF2">
        <w:rPr>
          <w:rFonts w:ascii="Times New Roman" w:eastAsia="Times New Roman" w:hAnsi="Times New Roman" w:cs="Times New Roman"/>
          <w:iCs/>
          <w:sz w:val="24"/>
          <w:szCs w:val="24"/>
        </w:rPr>
        <w:t xml:space="preserve"> for the following reason:</w:t>
      </w:r>
    </w:p>
    <w:p w14:paraId="00000101" w14:textId="77777777" w:rsidR="00E67F5D" w:rsidRPr="00320CF2" w:rsidRDefault="00000000">
      <w:p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lastRenderedPageBreak/>
        <w:t>Increasing road safety and faster emergency services by providing and improving traffic information services to all road users, to warn road users of:</w:t>
      </w:r>
    </w:p>
    <w:p w14:paraId="00000102" w14:textId="77777777" w:rsidR="00E67F5D" w:rsidRPr="00320CF2" w:rsidRDefault="00000000">
      <w:pPr>
        <w:numPr>
          <w:ilvl w:val="0"/>
          <w:numId w:val="1"/>
        </w:numPr>
        <w:spacing w:before="120" w:after="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stationary or approaching emergency services</w:t>
      </w:r>
    </w:p>
    <w:p w14:paraId="00000103" w14:textId="77777777" w:rsidR="00E67F5D" w:rsidRDefault="00000000">
      <w:pPr>
        <w:numPr>
          <w:ilvl w:val="0"/>
          <w:numId w:val="1"/>
        </w:numPr>
        <w:spacing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impact protection vehicles, service or construction vehicles during interventions or road works</w:t>
      </w:r>
    </w:p>
    <w:p w14:paraId="5E2D5050" w14:textId="38778E2E" w:rsidR="00320CF2" w:rsidRPr="00320CF2" w:rsidRDefault="00320CF2" w:rsidP="00320CF2">
      <w:pPr>
        <w:pStyle w:val="ListBullet"/>
        <w:rPr>
          <w:highlight w:val="yellow"/>
        </w:rPr>
      </w:pPr>
      <w:r w:rsidRPr="00320CF2">
        <w:rPr>
          <w:highlight w:val="yellow"/>
        </w:rPr>
        <w:t>… [In this paragraph fill in the applicable content]</w:t>
      </w:r>
    </w:p>
    <w:p w14:paraId="00000104"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5"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The period for which the personal data will be retained, or, if that is not possible, the criteria used to determine that period </w:t>
      </w:r>
    </w:p>
    <w:p w14:paraId="07C389BA"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107"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8"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For transfers to (sub-) processors, also specify subject matter, nature and duration of the processing</w:t>
      </w:r>
    </w:p>
    <w:p w14:paraId="73E3AE98"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10A"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B" w14:textId="77777777" w:rsidR="00E67F5D" w:rsidRPr="00320CF2" w:rsidRDefault="00000000">
      <w:pPr>
        <w:rPr>
          <w:rFonts w:ascii="Times New Roman" w:eastAsia="Times New Roman" w:hAnsi="Times New Roman" w:cs="Times New Roman"/>
          <w:b/>
          <w:iCs/>
          <w:sz w:val="24"/>
          <w:szCs w:val="24"/>
        </w:rPr>
      </w:pPr>
      <w:r w:rsidRPr="00320CF2">
        <w:rPr>
          <w:iCs/>
        </w:rPr>
        <w:br w:type="page"/>
      </w:r>
    </w:p>
    <w:p w14:paraId="0000010C" w14:textId="77777777" w:rsidR="00E67F5D" w:rsidRDefault="00000000">
      <w:pPr>
        <w:spacing w:before="120" w:after="120" w:line="240" w:lineRule="auto"/>
        <w:ind w:left="8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 COMPETENT SUPERVISORY AUTHORITY</w:t>
      </w:r>
    </w:p>
    <w:p w14:paraId="0000010D" w14:textId="77777777" w:rsidR="00E67F5D" w:rsidRDefault="00E67F5D">
      <w:pPr>
        <w:spacing w:before="120" w:after="120" w:line="240" w:lineRule="auto"/>
        <w:ind w:left="850" w:hanging="850"/>
        <w:jc w:val="both"/>
        <w:rPr>
          <w:rFonts w:ascii="Times New Roman" w:eastAsia="Times New Roman" w:hAnsi="Times New Roman" w:cs="Times New Roman"/>
          <w:i/>
          <w:sz w:val="24"/>
          <w:szCs w:val="24"/>
        </w:rPr>
      </w:pPr>
    </w:p>
    <w:p w14:paraId="0000010E" w14:textId="77777777" w:rsidR="00E67F5D"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Identify the competent supervisory authority/</w:t>
      </w:r>
      <w:proofErr w:type="spellStart"/>
      <w:r>
        <w:rPr>
          <w:rFonts w:ascii="Times New Roman" w:eastAsia="Times New Roman" w:hAnsi="Times New Roman" w:cs="Times New Roman"/>
          <w:i/>
          <w:sz w:val="24"/>
          <w:szCs w:val="24"/>
        </w:rPr>
        <w:t>ies</w:t>
      </w:r>
      <w:proofErr w:type="spellEnd"/>
      <w:r>
        <w:rPr>
          <w:rFonts w:ascii="Times New Roman" w:eastAsia="Times New Roman" w:hAnsi="Times New Roman" w:cs="Times New Roman"/>
          <w:i/>
          <w:sz w:val="24"/>
          <w:szCs w:val="24"/>
        </w:rPr>
        <w:t xml:space="preserve"> in accordance with Clause 13</w:t>
      </w:r>
    </w:p>
    <w:p w14:paraId="0000010F" w14:textId="77777777" w:rsidR="00E67F5D" w:rsidRPr="00320CF2" w:rsidRDefault="00000000">
      <w:pPr>
        <w:spacing w:before="120" w:after="120" w:line="240" w:lineRule="auto"/>
        <w:rPr>
          <w:rFonts w:ascii="Times New Roman" w:eastAsia="Times New Roman" w:hAnsi="Times New Roman" w:cs="Times New Roman"/>
          <w:b/>
          <w:sz w:val="24"/>
          <w:szCs w:val="24"/>
          <w:lang w:val="nl-BE"/>
        </w:rPr>
      </w:pPr>
      <w:r w:rsidRPr="00320CF2">
        <w:rPr>
          <w:rFonts w:ascii="Times New Roman" w:eastAsia="Times New Roman" w:hAnsi="Times New Roman" w:cs="Times New Roman"/>
          <w:b/>
          <w:sz w:val="24"/>
          <w:szCs w:val="24"/>
          <w:lang w:val="nl-BE"/>
        </w:rPr>
        <w:t xml:space="preserve">Vlaamse Toezichtcommissie </w:t>
      </w:r>
    </w:p>
    <w:p w14:paraId="00000110" w14:textId="77777777" w:rsidR="00E67F5D" w:rsidRPr="00320CF2" w:rsidRDefault="00000000">
      <w:pPr>
        <w:spacing w:before="120" w:after="120" w:line="240" w:lineRule="auto"/>
        <w:rPr>
          <w:rFonts w:ascii="Times New Roman" w:eastAsia="Times New Roman" w:hAnsi="Times New Roman" w:cs="Times New Roman"/>
          <w:sz w:val="24"/>
          <w:szCs w:val="24"/>
          <w:lang w:val="nl-BE"/>
        </w:rPr>
      </w:pPr>
      <w:r w:rsidRPr="00320CF2">
        <w:rPr>
          <w:rFonts w:ascii="Times New Roman" w:eastAsia="Times New Roman" w:hAnsi="Times New Roman" w:cs="Times New Roman"/>
          <w:sz w:val="24"/>
          <w:szCs w:val="24"/>
          <w:lang w:val="nl-BE"/>
        </w:rPr>
        <w:t>Koning Albert II-laan 15, 1210 Brussel </w:t>
      </w:r>
    </w:p>
    <w:p w14:paraId="00000111" w14:textId="77777777" w:rsidR="00E67F5D"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+32 (0)2 553 20 85 </w:t>
      </w:r>
    </w:p>
    <w:p w14:paraId="00000112" w14:textId="77777777" w:rsidR="00E67F5D" w:rsidRDefault="00000000">
      <w:pPr>
        <w:spacing w:before="120" w:after="120" w:line="240" w:lineRule="auto"/>
        <w:rPr>
          <w:rFonts w:ascii="Times New Roman" w:eastAsia="Times New Roman" w:hAnsi="Times New Roman" w:cs="Times New Roman"/>
          <w:b/>
          <w:sz w:val="32"/>
          <w:szCs w:val="32"/>
          <w:u w:val="single"/>
        </w:rPr>
      </w:pPr>
      <w:r>
        <w:rPr>
          <w:rFonts w:ascii="Times New Roman" w:eastAsia="Times New Roman" w:hAnsi="Times New Roman" w:cs="Times New Roman"/>
          <w:sz w:val="24"/>
          <w:szCs w:val="24"/>
        </w:rPr>
        <w:t>contact@toezichtcommissie.be</w:t>
      </w:r>
      <w:r>
        <w:br w:type="page"/>
      </w:r>
    </w:p>
    <w:p w14:paraId="00000113" w14:textId="77777777" w:rsidR="00E67F5D"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ANNEX II - TECHNICAL AND ORGANISATIONAL MEASURES INCLUDING TECHNICAL AND ORGANISATIONAL MEASURES TO ENSURE THE SECURITY OF THE DATA</w:t>
      </w:r>
    </w:p>
    <w:p w14:paraId="00000114"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115"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EXPLANATORY NOTE: </w:t>
      </w:r>
    </w:p>
    <w:p w14:paraId="00000116"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technical and organisational measures must be described in specific (and not generic) terms. See also the general comment on the first page of the Appendix, in particular on the need </w:t>
      </w:r>
      <w:r w:rsidRPr="00320CF2">
        <w:rPr>
          <w:rFonts w:ascii="Times New Roman" w:eastAsia="Times New Roman" w:hAnsi="Times New Roman" w:cs="Times New Roman"/>
          <w:sz w:val="24"/>
          <w:szCs w:val="24"/>
        </w:rPr>
        <w:t>to clearly indicate which measures apply to each transfer/set of transfers.</w:t>
      </w:r>
    </w:p>
    <w:p w14:paraId="00000117" w14:textId="6D789A3F" w:rsidR="00E67F5D" w:rsidRPr="00320CF2" w:rsidRDefault="00000000">
      <w:pPr>
        <w:spacing w:after="0" w:line="240" w:lineRule="auto"/>
        <w:ind w:firstLine="720"/>
        <w:jc w:val="both"/>
        <w:rPr>
          <w:rFonts w:ascii="Times New Roman" w:eastAsia="Times New Roman" w:hAnsi="Times New Roman" w:cs="Times New Roman"/>
          <w:sz w:val="24"/>
          <w:szCs w:val="24"/>
          <w:shd w:val="clear" w:color="auto" w:fill="FF9900"/>
        </w:rPr>
      </w:pPr>
      <w:proofErr w:type="spellStart"/>
      <w:r w:rsidRPr="00320CF2">
        <w:rPr>
          <w:rFonts w:ascii="Times New Roman" w:eastAsia="Times New Roman" w:hAnsi="Times New Roman" w:cs="Times New Roman"/>
          <w:sz w:val="24"/>
          <w:szCs w:val="24"/>
          <w:highlight w:val="yellow"/>
        </w:rPr>
        <w:t>Cfr</w:t>
      </w:r>
      <w:proofErr w:type="spellEnd"/>
      <w:r w:rsidRPr="00320CF2">
        <w:rPr>
          <w:rFonts w:ascii="Times New Roman" w:eastAsia="Times New Roman" w:hAnsi="Times New Roman" w:cs="Times New Roman"/>
          <w:sz w:val="24"/>
          <w:szCs w:val="24"/>
          <w:highlight w:val="yellow"/>
        </w:rPr>
        <w:t>. Annex 6 Completed Due Diligence Questionnaire</w:t>
      </w:r>
    </w:p>
    <w:p w14:paraId="00000118" w14:textId="77777777" w:rsidR="00E67F5D" w:rsidRPr="00320CF2" w:rsidRDefault="00E67F5D">
      <w:pPr>
        <w:spacing w:after="240" w:line="240" w:lineRule="auto"/>
        <w:jc w:val="both"/>
        <w:rPr>
          <w:rFonts w:ascii="Times New Roman" w:eastAsia="Times New Roman" w:hAnsi="Times New Roman" w:cs="Times New Roman"/>
          <w:b/>
          <w:sz w:val="24"/>
          <w:szCs w:val="24"/>
          <w:shd w:val="clear" w:color="auto" w:fill="FF9900"/>
        </w:rPr>
      </w:pPr>
    </w:p>
    <w:p w14:paraId="00000119" w14:textId="77777777" w:rsidR="00E67F5D" w:rsidRPr="00320CF2" w:rsidRDefault="00000000">
      <w:pPr>
        <w:spacing w:before="120" w:after="24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highlight w:val="yellow"/>
        </w:rPr>
        <w:t>For transfers to (sub-) processors, also describe the specific technical and organisational measures to be taken by the (sub-) processor to be able to provide assistance to the controller and, for transfers from a processor to a sub-processor, to the data exporter</w:t>
      </w:r>
    </w:p>
    <w:p w14:paraId="0000011A" w14:textId="77777777" w:rsidR="00E67F5D" w:rsidRPr="00320CF2" w:rsidRDefault="00E67F5D">
      <w:pPr>
        <w:spacing w:before="120" w:after="240" w:line="240" w:lineRule="auto"/>
        <w:jc w:val="both"/>
        <w:rPr>
          <w:rFonts w:ascii="Times New Roman" w:eastAsia="Times New Roman" w:hAnsi="Times New Roman" w:cs="Times New Roman"/>
          <w:sz w:val="24"/>
          <w:szCs w:val="24"/>
        </w:rPr>
      </w:pPr>
      <w:bookmarkStart w:id="2" w:name="_heading=h.8kqeem1d5ygr" w:colFirst="0" w:colLast="0"/>
      <w:bookmarkEnd w:id="2"/>
    </w:p>
    <w:p w14:paraId="0000011B" w14:textId="77777777" w:rsidR="00E67F5D" w:rsidRPr="00320CF2" w:rsidRDefault="00E67F5D">
      <w:pPr>
        <w:spacing w:before="120" w:after="120" w:line="240" w:lineRule="auto"/>
        <w:jc w:val="both"/>
        <w:rPr>
          <w:rFonts w:ascii="Times New Roman" w:eastAsia="Times New Roman" w:hAnsi="Times New Roman" w:cs="Times New Roman"/>
          <w:sz w:val="24"/>
          <w:szCs w:val="24"/>
        </w:rPr>
      </w:pPr>
    </w:p>
    <w:p w14:paraId="0000011C"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11D" w14:textId="77777777" w:rsidR="00E67F5D" w:rsidRDefault="00E67F5D">
      <w:pPr>
        <w:rPr>
          <w:rFonts w:ascii="Times New Roman" w:eastAsia="Times New Roman" w:hAnsi="Times New Roman" w:cs="Times New Roman"/>
          <w:sz w:val="24"/>
          <w:szCs w:val="24"/>
        </w:rPr>
      </w:pPr>
    </w:p>
    <w:p w14:paraId="0000011E" w14:textId="77777777" w:rsidR="00E67F5D" w:rsidRDefault="00E67F5D"/>
    <w:sectPr w:rsidR="00E67F5D">
      <w:headerReference w:type="even" r:id="rId16"/>
      <w:headerReference w:type="default" r:id="rId17"/>
      <w:footerReference w:type="even" r:id="rId18"/>
      <w:footerReference w:type="default" r:id="rId19"/>
      <w:headerReference w:type="first" r:id="rId20"/>
      <w:footerReference w:type="first" r:id="rId21"/>
      <w:pgSz w:w="11906" w:h="16838"/>
      <w:pgMar w:top="1134" w:right="1417" w:bottom="1134" w:left="1417"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88C74" w14:textId="77777777" w:rsidR="00A57651" w:rsidRDefault="00A57651">
      <w:pPr>
        <w:spacing w:after="0" w:line="240" w:lineRule="auto"/>
      </w:pPr>
      <w:r>
        <w:separator/>
      </w:r>
    </w:p>
  </w:endnote>
  <w:endnote w:type="continuationSeparator" w:id="0">
    <w:p w14:paraId="42BC4A6E" w14:textId="77777777" w:rsidR="00A57651" w:rsidRDefault="00A576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99D10FA-12C1-47DD-837F-49BA0131C518}"/>
  </w:font>
  <w:font w:name="Courier New">
    <w:panose1 w:val="02070309020205020404"/>
    <w:charset w:val="00"/>
    <w:family w:val="modern"/>
    <w:pitch w:val="fixed"/>
    <w:sig w:usb0="E0002EFF" w:usb1="C0007843" w:usb2="00000009" w:usb3="00000000" w:csb0="000001FF" w:csb1="00000000"/>
  </w:font>
  <w:font w:name="FlandersArtSans-Regular">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2B5A9438-2AE2-4D9F-AFD3-A28F61B70286}"/>
    <w:embedBold r:id="rId3" w:fontKey="{E8BB0CF8-C580-4C12-8A62-EA682DFFE5CA}"/>
    <w:embedItalic r:id="rId4" w:fontKey="{5546723D-7AD8-4647-B30C-8EA522E39AB6}"/>
    <w:embedBoldItalic r:id="rId5" w:fontKey="{FA9612A9-963F-4F2C-9D24-287053CFB02E}"/>
  </w:font>
  <w:font w:name="Segoe UI">
    <w:panose1 w:val="020B0502040204020203"/>
    <w:charset w:val="00"/>
    <w:family w:val="swiss"/>
    <w:pitch w:val="variable"/>
    <w:sig w:usb0="E4002EFF" w:usb1="C000E47F" w:usb2="00000009" w:usb3="00000000" w:csb0="000001FF" w:csb1="00000000"/>
    <w:embedRegular r:id="rId6" w:fontKey="{D78D38A3-D36F-423F-8851-ECFE1122A0E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7" w:fontKey="{7CBC615E-2582-4DA6-852C-F7BB0B91BD7C}"/>
    <w:embedItalic r:id="rId8" w:fontKey="{B8CDDCA4-3DA6-4A37-99C2-7B4BFCC5EB71}"/>
  </w:font>
  <w:font w:name="Aptos Display">
    <w:charset w:val="00"/>
    <w:family w:val="swiss"/>
    <w:pitch w:val="variable"/>
    <w:sig w:usb0="20000287" w:usb1="00000003" w:usb2="00000000" w:usb3="00000000" w:csb0="0000019F" w:csb1="00000000"/>
    <w:embedRegular r:id="rId9" w:fontKey="{6E6ABD0E-F76F-4FE9-B5A4-9F8E972EACB2}"/>
  </w:font>
  <w:font w:name="Aptos">
    <w:charset w:val="00"/>
    <w:family w:val="swiss"/>
    <w:pitch w:val="variable"/>
    <w:sig w:usb0="20000287" w:usb1="00000003" w:usb2="00000000" w:usb3="00000000" w:csb0="0000019F" w:csb1="00000000"/>
    <w:embedRegular r:id="rId10" w:fontKey="{9244310C-BC82-4EF0-8F3C-92C2A3CF46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C"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D" w14:textId="77777777" w:rsidR="00E67F5D" w:rsidRDefault="00000000">
    <w:pPr>
      <w:pBdr>
        <w:top w:val="nil"/>
        <w:left w:val="nil"/>
        <w:bottom w:val="nil"/>
        <w:right w:val="nil"/>
        <w:between w:val="nil"/>
      </w:pBdr>
      <w:tabs>
        <w:tab w:val="center" w:pos="4535"/>
        <w:tab w:val="right" w:pos="9071"/>
        <w:tab w:val="right" w:pos="9921"/>
      </w:tabs>
      <w:spacing w:before="360" w:after="0" w:line="240" w:lineRule="auto"/>
      <w:ind w:left="-850" w:right="-850"/>
      <w:rPr>
        <w:rFonts w:ascii="Arial" w:eastAsia="Arial" w:hAnsi="Arial" w:cs="Arial"/>
        <w:b/>
        <w:color w:val="000000"/>
        <w:sz w:val="48"/>
        <w:szCs w:val="48"/>
      </w:rPr>
    </w:pPr>
    <w:r>
      <w:rPr>
        <w:rFonts w:ascii="Arial" w:eastAsia="Arial" w:hAnsi="Arial" w:cs="Arial"/>
        <w:b/>
        <w:color w:val="000000"/>
        <w:sz w:val="48"/>
        <w:szCs w:val="48"/>
      </w:rPr>
      <w:t>EN</w:t>
    </w:r>
    <w:r>
      <w:rPr>
        <w:rFonts w:ascii="Arial" w:eastAsia="Arial" w:hAnsi="Arial" w:cs="Arial"/>
        <w:b/>
        <w:color w:val="000000"/>
        <w:sz w:val="48"/>
        <w:szCs w:val="48"/>
      </w:rPr>
      <w:tab/>
    </w:r>
    <w:r>
      <w:rPr>
        <w:rFonts w:ascii="Arial" w:eastAsia="Arial" w:hAnsi="Arial" w:cs="Arial"/>
        <w:b/>
        <w:color w:val="000000"/>
        <w:sz w:val="48"/>
        <w:szCs w:val="48"/>
      </w:rPr>
      <w:tab/>
    </w:r>
    <w:r>
      <w:rPr>
        <w:rFonts w:ascii="Times New Roman" w:eastAsia="Times New Roman" w:hAnsi="Times New Roman" w:cs="Times New Roman"/>
        <w:color w:val="000000"/>
        <w:sz w:val="24"/>
        <w:szCs w:val="24"/>
      </w:rPr>
      <w:tab/>
    </w:r>
    <w:proofErr w:type="spellStart"/>
    <w:r>
      <w:rPr>
        <w:rFonts w:ascii="Arial" w:eastAsia="Arial" w:hAnsi="Arial" w:cs="Arial"/>
        <w:b/>
        <w:color w:val="000000"/>
        <w:sz w:val="48"/>
        <w:szCs w:val="48"/>
      </w:rPr>
      <w:t>EN</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E" w14:textId="77777777" w:rsidR="00E67F5D" w:rsidRDefault="00E67F5D">
    <w:pPr>
      <w:pBdr>
        <w:top w:val="nil"/>
        <w:left w:val="nil"/>
        <w:bottom w:val="nil"/>
        <w:right w:val="nil"/>
        <w:between w:val="nil"/>
      </w:pBdr>
      <w:tabs>
        <w:tab w:val="center" w:pos="4535"/>
        <w:tab w:val="right" w:pos="9071"/>
        <w:tab w:val="right" w:pos="9921"/>
      </w:tabs>
      <w:spacing w:before="360" w:after="0" w:line="240" w:lineRule="auto"/>
      <w:ind w:left="-850" w:right="-850"/>
      <w:rPr>
        <w:rFonts w:ascii="Times New Roman" w:eastAsia="Times New Roman" w:hAnsi="Times New Roman" w:cs="Times New Roman"/>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F"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0" w14:textId="4C6AC608" w:rsidR="00E67F5D" w:rsidRDefault="0000000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48"/>
        <w:szCs w:val="48"/>
      </w:rPr>
    </w:pPr>
    <w:r>
      <w:rPr>
        <w:rFonts w:ascii="Arial" w:eastAsia="Arial" w:hAnsi="Arial" w:cs="Arial"/>
        <w:b/>
        <w:color w:val="000000"/>
        <w:sz w:val="48"/>
        <w:szCs w:val="48"/>
      </w:rPr>
      <w:t>EN</w:t>
    </w:r>
    <w:r>
      <w:rPr>
        <w:rFonts w:ascii="Arial" w:eastAsia="Arial" w:hAnsi="Arial" w:cs="Arial"/>
        <w:b/>
        <w:color w:val="000000"/>
        <w:sz w:val="48"/>
        <w:szCs w:val="48"/>
      </w:rPr>
      <w:tab/>
    </w:r>
    <w:r>
      <w:rPr>
        <w:color w:val="000000"/>
      </w:rPr>
      <w:fldChar w:fldCharType="begin"/>
    </w:r>
    <w:r>
      <w:rPr>
        <w:color w:val="000000"/>
      </w:rPr>
      <w:instrText>PAGE</w:instrText>
    </w:r>
    <w:r>
      <w:rPr>
        <w:color w:val="000000"/>
      </w:rPr>
      <w:fldChar w:fldCharType="separate"/>
    </w:r>
    <w:r w:rsidR="00320CF2">
      <w:rPr>
        <w:noProof/>
        <w:color w:val="000000"/>
      </w:rPr>
      <w:t>1</w:t>
    </w:r>
    <w:r>
      <w:rPr>
        <w:color w:val="000000"/>
      </w:rPr>
      <w:fldChar w:fldCharType="end"/>
    </w:r>
    <w:r>
      <w:rPr>
        <w:color w:val="000000"/>
      </w:rPr>
      <w:tab/>
    </w:r>
    <w:r>
      <w:rPr>
        <w:rFonts w:ascii="Arial" w:eastAsia="Arial" w:hAnsi="Arial" w:cs="Arial"/>
        <w:b/>
        <w:color w:val="000000"/>
        <w:sz w:val="48"/>
        <w:szCs w:val="48"/>
      </w:rPr>
      <w:t>EN</w:t>
    </w:r>
    <w:r>
      <w:rPr>
        <w:color w:val="000000"/>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1"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787ED" w14:textId="77777777" w:rsidR="00A57651" w:rsidRDefault="00A57651">
      <w:pPr>
        <w:spacing w:after="0" w:line="240" w:lineRule="auto"/>
      </w:pPr>
      <w:r>
        <w:separator/>
      </w:r>
    </w:p>
  </w:footnote>
  <w:footnote w:type="continuationSeparator" w:id="0">
    <w:p w14:paraId="6ED439D6" w14:textId="77777777" w:rsidR="00A57651" w:rsidRDefault="00A57651">
      <w:pPr>
        <w:spacing w:after="0" w:line="240" w:lineRule="auto"/>
      </w:pPr>
      <w:r>
        <w:continuationSeparator/>
      </w:r>
    </w:p>
  </w:footnote>
  <w:footnote w:id="1">
    <w:p w14:paraId="0000011F"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Where the data exporter is a processor subject to Regulation (EU) 2016/679 acting on behalf of a Union institution or body as controller, reliance on these Clauses when engaging another processor (sub-processing) not subject to Regulation (EU) 2016/679 also ensures compliance with Article 29(4) of Regulation (EU) 2018/1725 of the European Parliament and of the Council of 23 October 2018 on the protection of natural persons with regard to the processing of personal data by the Union institutions, bodies, offices and agencies and on the free movement of such data, and repealing Regulation (EC) No 45/2001 and Decision No 1247/2002/EC (OJ L 295 of 21.11.2018, p. 39), to the extent these Clauses and the data protection obligations as set out in the contract or other legal act between the controller and the processor pursuant to Article 29(3) of Regulation (EU) 2018/1725 are aligned. This will in particular be the case where the controller and processor rely on the standard contractual clauses included in Decision […].</w:t>
      </w:r>
    </w:p>
  </w:footnote>
  <w:footnote w:id="2">
    <w:p w14:paraId="00000120"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This requires rendering the data anonymous in such a way that the individual is no longer identifiable by anyone, in line with recital 26 of Regulation (EU) 2016/679, and that this process is irreversible.</w:t>
      </w:r>
    </w:p>
  </w:footnote>
  <w:footnote w:id="3">
    <w:p w14:paraId="00000121"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The Agreement on the European Economic Area (EEA Agreement) provides for the extension of the European Union's internal market to the three EEA States Iceland, Liechtenstein and Norway. The Union data protection legislation, including Regulation (EU) 2016/679, is covered by the EEA Agreement and has been incorporated into Annex XI thereto. Therefore, any disclosure by the data importer to a third party located in the EEA does not qualify as an onward transfer for the purpose of these Clauses.</w:t>
      </w:r>
    </w:p>
    <w:p w14:paraId="00000122" w14:textId="77777777" w:rsidR="00E67F5D" w:rsidRDefault="00E67F5D">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4">
    <w:p w14:paraId="00000123"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 xml:space="preserve">That period may be extended by a maximum of two more months, to the extent necessary taking into account the complexity and number of requests. The data importer shall duly and promptly inform the data subject of any such extension. </w:t>
      </w:r>
    </w:p>
  </w:footnote>
  <w:footnote w:id="5">
    <w:p w14:paraId="00000124"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The data importer may offer independent dispute resolution through an arbitration body only if it is established in a country that has ratified the New York Convention on Enforcement of Arbitration Awards.</w:t>
      </w:r>
      <w:r>
        <w:rPr>
          <w:rFonts w:ascii="Times New Roman" w:eastAsia="Times New Roman" w:hAnsi="Times New Roman" w:cs="Times New Roman"/>
          <w:color w:val="000000"/>
          <w:sz w:val="20"/>
          <w:szCs w:val="20"/>
        </w:rPr>
        <w:tab/>
      </w:r>
    </w:p>
  </w:footnote>
  <w:footnote w:id="6">
    <w:p w14:paraId="00000125"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As regards the impact of such laws and practices on compliance with these Clauses, different elements may be considered as part of an overall assessment. Such elements may include relevant and documented practical experience with prior instances of requests for disclosure from public authorities, or the absence of such requests, covering a sufficiently representative time-frame. This refers in particular to internal records or other documentation, drawn up on a continuous basis in accordance with due diligence and certified at senior management level, provided that this information can be lawfully shared with third parties. Where this practical experience is relied upon to conclude that the data importer will not be prevented from complying with these Clauses, it needs to be supported by other relevant, objective elements, and it is for the Parties to consider carefully whether these elements together carry sufficient weight, in terms of their reliability and representativeness, to support this conclusion. In particular, the Parties have to take into account whether their practical experience is corroborated and not contradicted by publicly available or otherwise accessible, reliable information on the existence or absence of requests within the same sector and/or the application of the law in practice, such as case law and reports by independent oversight bodies.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6"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7" w14:textId="77777777" w:rsidR="00E67F5D" w:rsidRDefault="00E67F5D">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8" w14:textId="77777777" w:rsidR="00E67F5D" w:rsidRDefault="00E67F5D">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9"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A"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B"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956BA"/>
    <w:multiLevelType w:val="multilevel"/>
    <w:tmpl w:val="B0065824"/>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AB6FB1"/>
    <w:multiLevelType w:val="multilevel"/>
    <w:tmpl w:val="4FBEB7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B2428CB"/>
    <w:multiLevelType w:val="multilevel"/>
    <w:tmpl w:val="4028B75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3" w15:restartNumberingAfterBreak="0">
    <w:nsid w:val="11CD2527"/>
    <w:multiLevelType w:val="multilevel"/>
    <w:tmpl w:val="E48C73FE"/>
    <w:lvl w:ilvl="0">
      <w:start w:val="1"/>
      <w:numFmt w:val="decimal"/>
      <w:pStyle w:val="ListBullet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4" w15:restartNumberingAfterBreak="0">
    <w:nsid w:val="15190330"/>
    <w:multiLevelType w:val="multilevel"/>
    <w:tmpl w:val="F8F8FD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A2932DC"/>
    <w:multiLevelType w:val="multilevel"/>
    <w:tmpl w:val="BC244D9E"/>
    <w:lvl w:ilvl="0">
      <w:start w:val="1"/>
      <w:numFmt w:val="decimal"/>
      <w:pStyle w:val="ListNumber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6" w15:restartNumberingAfterBreak="0">
    <w:nsid w:val="2FD7111C"/>
    <w:multiLevelType w:val="multilevel"/>
    <w:tmpl w:val="3250A43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0074A2A"/>
    <w:multiLevelType w:val="multilevel"/>
    <w:tmpl w:val="FBF0E94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8455B46"/>
    <w:multiLevelType w:val="multilevel"/>
    <w:tmpl w:val="ADEE2A2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9" w15:restartNumberingAfterBreak="0">
    <w:nsid w:val="3B31055B"/>
    <w:multiLevelType w:val="multilevel"/>
    <w:tmpl w:val="2F9868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F7A690C"/>
    <w:multiLevelType w:val="multilevel"/>
    <w:tmpl w:val="9416A0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FEA3DBA"/>
    <w:multiLevelType w:val="multilevel"/>
    <w:tmpl w:val="9D24E49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2" w15:restartNumberingAfterBreak="0">
    <w:nsid w:val="401932F2"/>
    <w:multiLevelType w:val="multilevel"/>
    <w:tmpl w:val="39D6356E"/>
    <w:lvl w:ilvl="0">
      <w:start w:val="1"/>
      <w:numFmt w:val="decimal"/>
      <w:pStyle w:val="ListBullet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3" w15:restartNumberingAfterBreak="0">
    <w:nsid w:val="40FD6D3F"/>
    <w:multiLevelType w:val="multilevel"/>
    <w:tmpl w:val="AE5EDEDC"/>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4" w15:restartNumberingAfterBreak="0">
    <w:nsid w:val="41E415DD"/>
    <w:multiLevelType w:val="multilevel"/>
    <w:tmpl w:val="D14AC264"/>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5" w15:restartNumberingAfterBreak="0">
    <w:nsid w:val="42FC02DF"/>
    <w:multiLevelType w:val="multilevel"/>
    <w:tmpl w:val="8C5AC7AC"/>
    <w:lvl w:ilvl="0">
      <w:start w:val="1"/>
      <w:numFmt w:val="bullet"/>
      <w:pStyle w:val="ListBullet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580744E"/>
    <w:multiLevelType w:val="multilevel"/>
    <w:tmpl w:val="2EEECC12"/>
    <w:lvl w:ilvl="0">
      <w:start w:val="1"/>
      <w:numFmt w:val="decimal"/>
      <w:pStyle w:val="ListNumber"/>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7" w15:restartNumberingAfterBreak="0">
    <w:nsid w:val="482B70A4"/>
    <w:multiLevelType w:val="multilevel"/>
    <w:tmpl w:val="1B1A2F56"/>
    <w:lvl w:ilvl="0">
      <w:start w:val="1"/>
      <w:numFmt w:val="decimal"/>
      <w:pStyle w:val="Point0number"/>
      <w:lvlText w:val="(%1)"/>
      <w:lvlJc w:val="left"/>
      <w:pPr>
        <w:ind w:left="850" w:hanging="850"/>
      </w:pPr>
    </w:lvl>
    <w:lvl w:ilvl="1">
      <w:start w:val="1"/>
      <w:numFmt w:val="lowerLetter"/>
      <w:pStyle w:val="Point0letter"/>
      <w:lvlText w:val="(%2)"/>
      <w:lvlJc w:val="left"/>
      <w:pPr>
        <w:ind w:left="850" w:hanging="850"/>
      </w:pPr>
    </w:lvl>
    <w:lvl w:ilvl="2">
      <w:start w:val="1"/>
      <w:numFmt w:val="decimal"/>
      <w:pStyle w:val="Point1number"/>
      <w:lvlText w:val="(%3)"/>
      <w:lvlJc w:val="left"/>
      <w:pPr>
        <w:ind w:left="1417" w:hanging="567"/>
      </w:pPr>
    </w:lvl>
    <w:lvl w:ilvl="3">
      <w:start w:val="1"/>
      <w:numFmt w:val="lowerRoman"/>
      <w:lvlText w:val="(%4)"/>
      <w:lvlJc w:val="left"/>
      <w:pPr>
        <w:ind w:left="1417" w:hanging="567"/>
      </w:pPr>
    </w:lvl>
    <w:lvl w:ilvl="4">
      <w:start w:val="1"/>
      <w:numFmt w:val="decimal"/>
      <w:pStyle w:val="Point2number"/>
      <w:lvlText w:val="(%5)"/>
      <w:lvlJc w:val="left"/>
      <w:pPr>
        <w:ind w:left="1984" w:hanging="567"/>
      </w:pPr>
    </w:lvl>
    <w:lvl w:ilvl="5">
      <w:start w:val="1"/>
      <w:numFmt w:val="lowerLetter"/>
      <w:pStyle w:val="Point2letter"/>
      <w:lvlText w:val="(%6)"/>
      <w:lvlJc w:val="left"/>
      <w:pPr>
        <w:ind w:left="1984" w:hanging="567"/>
      </w:pPr>
    </w:lvl>
    <w:lvl w:ilvl="6">
      <w:start w:val="1"/>
      <w:numFmt w:val="decimal"/>
      <w:pStyle w:val="Point3number"/>
      <w:lvlText w:val="(%7)"/>
      <w:lvlJc w:val="left"/>
      <w:pPr>
        <w:ind w:left="2551" w:hanging="567"/>
      </w:pPr>
    </w:lvl>
    <w:lvl w:ilvl="7">
      <w:start w:val="1"/>
      <w:numFmt w:val="lowerLetter"/>
      <w:pStyle w:val="Point3letter"/>
      <w:lvlText w:val="(%8)"/>
      <w:lvlJc w:val="left"/>
      <w:pPr>
        <w:ind w:left="2551" w:hanging="567"/>
      </w:pPr>
    </w:lvl>
    <w:lvl w:ilvl="8">
      <w:start w:val="1"/>
      <w:numFmt w:val="lowerLetter"/>
      <w:pStyle w:val="Point4letter"/>
      <w:lvlText w:val="(%9)"/>
      <w:lvlJc w:val="left"/>
      <w:pPr>
        <w:ind w:left="3118" w:hanging="567"/>
      </w:pPr>
    </w:lvl>
  </w:abstractNum>
  <w:abstractNum w:abstractNumId="18" w15:restartNumberingAfterBreak="0">
    <w:nsid w:val="53E6578F"/>
    <w:multiLevelType w:val="multilevel"/>
    <w:tmpl w:val="9596195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9" w15:restartNumberingAfterBreak="0">
    <w:nsid w:val="55D6372C"/>
    <w:multiLevelType w:val="multilevel"/>
    <w:tmpl w:val="9B48AD0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0" w15:restartNumberingAfterBreak="0">
    <w:nsid w:val="57AF16C4"/>
    <w:multiLevelType w:val="multilevel"/>
    <w:tmpl w:val="45C63D9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1" w15:restartNumberingAfterBreak="0">
    <w:nsid w:val="6D523330"/>
    <w:multiLevelType w:val="multilevel"/>
    <w:tmpl w:val="E94CAE3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2" w15:restartNumberingAfterBreak="0">
    <w:nsid w:val="73AE2820"/>
    <w:multiLevelType w:val="multilevel"/>
    <w:tmpl w:val="36F6EDD6"/>
    <w:lvl w:ilvl="0">
      <w:start w:val="1"/>
      <w:numFmt w:val="decimal"/>
      <w:pStyle w:val="ListNumber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3" w15:restartNumberingAfterBreak="0">
    <w:nsid w:val="7C505BD1"/>
    <w:multiLevelType w:val="multilevel"/>
    <w:tmpl w:val="391C6678"/>
    <w:lvl w:ilvl="0">
      <w:start w:val="1"/>
      <w:numFmt w:val="decimal"/>
      <w:pStyle w:val="ListNumber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4" w15:restartNumberingAfterBreak="0">
    <w:nsid w:val="7EEC7FA3"/>
    <w:multiLevelType w:val="multilevel"/>
    <w:tmpl w:val="B8287B5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num w:numId="1" w16cid:durableId="1393458226">
    <w:abstractNumId w:val="0"/>
  </w:num>
  <w:num w:numId="2" w16cid:durableId="1223098601">
    <w:abstractNumId w:val="15"/>
  </w:num>
  <w:num w:numId="3" w16cid:durableId="329717860">
    <w:abstractNumId w:val="12"/>
  </w:num>
  <w:num w:numId="4" w16cid:durableId="1100101547">
    <w:abstractNumId w:val="3"/>
  </w:num>
  <w:num w:numId="5" w16cid:durableId="1913003096">
    <w:abstractNumId w:val="16"/>
  </w:num>
  <w:num w:numId="6" w16cid:durableId="1187864120">
    <w:abstractNumId w:val="23"/>
  </w:num>
  <w:num w:numId="7" w16cid:durableId="533691799">
    <w:abstractNumId w:val="5"/>
  </w:num>
  <w:num w:numId="8" w16cid:durableId="355541363">
    <w:abstractNumId w:val="22"/>
  </w:num>
  <w:num w:numId="9" w16cid:durableId="1425682520">
    <w:abstractNumId w:val="17"/>
  </w:num>
  <w:num w:numId="10" w16cid:durableId="2009867149">
    <w:abstractNumId w:val="18"/>
  </w:num>
  <w:num w:numId="11" w16cid:durableId="2101169733">
    <w:abstractNumId w:val="8"/>
  </w:num>
  <w:num w:numId="12" w16cid:durableId="778065661">
    <w:abstractNumId w:val="24"/>
  </w:num>
  <w:num w:numId="13" w16cid:durableId="1909026327">
    <w:abstractNumId w:val="14"/>
  </w:num>
  <w:num w:numId="14" w16cid:durableId="1121803509">
    <w:abstractNumId w:val="2"/>
  </w:num>
  <w:num w:numId="15" w16cid:durableId="92365385">
    <w:abstractNumId w:val="20"/>
  </w:num>
  <w:num w:numId="16" w16cid:durableId="127281004">
    <w:abstractNumId w:val="13"/>
  </w:num>
  <w:num w:numId="17" w16cid:durableId="1145783225">
    <w:abstractNumId w:val="21"/>
  </w:num>
  <w:num w:numId="18" w16cid:durableId="2109426278">
    <w:abstractNumId w:val="11"/>
  </w:num>
  <w:num w:numId="19" w16cid:durableId="1884319564">
    <w:abstractNumId w:val="6"/>
  </w:num>
  <w:num w:numId="20" w16cid:durableId="1007558161">
    <w:abstractNumId w:val="10"/>
  </w:num>
  <w:num w:numId="21" w16cid:durableId="1687831805">
    <w:abstractNumId w:val="4"/>
  </w:num>
  <w:num w:numId="22" w16cid:durableId="96485985">
    <w:abstractNumId w:val="1"/>
  </w:num>
  <w:num w:numId="23" w16cid:durableId="1896891920">
    <w:abstractNumId w:val="9"/>
  </w:num>
  <w:num w:numId="24" w16cid:durableId="2129202774">
    <w:abstractNumId w:val="19"/>
  </w:num>
  <w:num w:numId="25" w16cid:durableId="1776510687">
    <w:abstractNumId w:val="7"/>
  </w:num>
  <w:num w:numId="26" w16cid:durableId="10295293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195224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331322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903543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474820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893041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79749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625871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384195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644611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826845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848074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F5D"/>
    <w:rsid w:val="001858D5"/>
    <w:rsid w:val="001E5920"/>
    <w:rsid w:val="00277899"/>
    <w:rsid w:val="00320CF2"/>
    <w:rsid w:val="00383444"/>
    <w:rsid w:val="00A57651"/>
    <w:rsid w:val="00B42D53"/>
    <w:rsid w:val="00B624C1"/>
    <w:rsid w:val="00D52B39"/>
    <w:rsid w:val="00E67F5D"/>
    <w:rsid w:val="00F43A1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23241"/>
  <w15:docId w15:val="{A7D9F5D9-8E4E-4BCC-B8B3-43AB117D5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nl-B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Heading1">
    <w:name w:val="heading 1"/>
    <w:basedOn w:val="Normal"/>
    <w:next w:val="Text1"/>
    <w:link w:val="Heading1Char"/>
    <w:uiPriority w:val="9"/>
    <w:qFormat/>
    <w:pPr>
      <w:keepNext/>
      <w:numPr>
        <w:numId w:val="25"/>
      </w:numPr>
      <w:spacing w:before="360" w:after="120" w:line="240" w:lineRule="auto"/>
      <w:jc w:val="both"/>
      <w:outlineLvl w:val="0"/>
    </w:pPr>
    <w:rPr>
      <w:rFonts w:ascii="Times New Roman" w:eastAsia="Times New Roman" w:hAnsi="Times New Roman"/>
      <w:b/>
      <w:bCs/>
      <w:smallCaps/>
      <w:sz w:val="24"/>
      <w:szCs w:val="28"/>
    </w:rPr>
  </w:style>
  <w:style w:type="paragraph" w:styleId="Heading2">
    <w:name w:val="heading 2"/>
    <w:basedOn w:val="Normal"/>
    <w:next w:val="Text1"/>
    <w:link w:val="Heading2Char"/>
    <w:uiPriority w:val="9"/>
    <w:semiHidden/>
    <w:unhideWhenUsed/>
    <w:qFormat/>
    <w:pPr>
      <w:keepNext/>
      <w:numPr>
        <w:ilvl w:val="1"/>
        <w:numId w:val="25"/>
      </w:numPr>
      <w:spacing w:before="120" w:after="120" w:line="240" w:lineRule="auto"/>
      <w:jc w:val="both"/>
      <w:outlineLvl w:val="1"/>
    </w:pPr>
    <w:rPr>
      <w:rFonts w:ascii="Times New Roman" w:eastAsia="Times New Roman" w:hAnsi="Times New Roman"/>
      <w:b/>
      <w:bCs/>
      <w:sz w:val="24"/>
      <w:szCs w:val="26"/>
    </w:rPr>
  </w:style>
  <w:style w:type="paragraph" w:styleId="Heading3">
    <w:name w:val="heading 3"/>
    <w:basedOn w:val="Normal"/>
    <w:next w:val="Text1"/>
    <w:link w:val="Heading3Char"/>
    <w:uiPriority w:val="9"/>
    <w:semiHidden/>
    <w:unhideWhenUsed/>
    <w:qFormat/>
    <w:pPr>
      <w:keepNext/>
      <w:numPr>
        <w:ilvl w:val="2"/>
        <w:numId w:val="25"/>
      </w:numPr>
      <w:spacing w:before="120" w:after="120" w:line="240" w:lineRule="auto"/>
      <w:jc w:val="both"/>
      <w:outlineLvl w:val="2"/>
    </w:pPr>
    <w:rPr>
      <w:rFonts w:ascii="Times New Roman" w:eastAsia="Times New Roman" w:hAnsi="Times New Roman"/>
      <w:bCs/>
      <w:i/>
      <w:sz w:val="24"/>
    </w:rPr>
  </w:style>
  <w:style w:type="paragraph" w:styleId="Heading4">
    <w:name w:val="heading 4"/>
    <w:basedOn w:val="Normal"/>
    <w:next w:val="Text1"/>
    <w:link w:val="Heading4Char"/>
    <w:uiPriority w:val="9"/>
    <w:semiHidden/>
    <w:unhideWhenUsed/>
    <w:qFormat/>
    <w:pPr>
      <w:keepNext/>
      <w:numPr>
        <w:ilvl w:val="3"/>
        <w:numId w:val="25"/>
      </w:numPr>
      <w:spacing w:before="120" w:after="120" w:line="240" w:lineRule="auto"/>
      <w:jc w:val="both"/>
      <w:outlineLvl w:val="3"/>
    </w:pPr>
    <w:rPr>
      <w:rFonts w:ascii="Times New Roman" w:eastAsia="Times New Roman" w:hAnsi="Times New Roman"/>
      <w:bCs/>
      <w:iCs/>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Marker">
    <w:name w:val="Marker"/>
    <w:rPr>
      <w:color w:val="0000FF"/>
      <w:shd w:val="clear" w:color="auto" w:fill="auto"/>
    </w:rPr>
  </w:style>
  <w:style w:type="paragraph" w:customStyle="1" w:styleId="Pagedecouverture">
    <w:name w:val="Page de couverture"/>
    <w:basedOn w:val="Normal"/>
    <w:next w:val="Normal"/>
    <w:pPr>
      <w:spacing w:after="0" w:line="240" w:lineRule="auto"/>
      <w:jc w:val="both"/>
    </w:pPr>
    <w:rPr>
      <w:rFonts w:ascii="Times New Roman" w:hAnsi="Times New Roman"/>
      <w:sz w:val="24"/>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FooterCoverPage">
    <w:name w:val="Footer Cover Page"/>
    <w:basedOn w:val="Normal"/>
    <w:link w:val="FooterCoverPageChar"/>
    <w:pPr>
      <w:tabs>
        <w:tab w:val="center" w:pos="4535"/>
        <w:tab w:val="right" w:pos="9071"/>
        <w:tab w:val="right" w:pos="9921"/>
      </w:tabs>
      <w:spacing w:before="360" w:after="0" w:line="240" w:lineRule="auto"/>
      <w:ind w:left="-850" w:right="-850"/>
    </w:pPr>
    <w:rPr>
      <w:rFonts w:ascii="Times New Roman" w:hAnsi="Times New Roman"/>
      <w:sz w:val="24"/>
    </w:rPr>
  </w:style>
  <w:style w:type="character" w:customStyle="1" w:styleId="FooterCoverPageChar">
    <w:name w:val="Footer Cover Page Char"/>
    <w:link w:val="FooterCoverPage"/>
    <w:rPr>
      <w:rFonts w:ascii="Times New Roman" w:hAnsi="Times New Roman" w:cs="Times New Roman"/>
      <w:sz w:val="24"/>
    </w:rPr>
  </w:style>
  <w:style w:type="paragraph" w:customStyle="1" w:styleId="FooterSensitivity">
    <w:name w:val="Footer Sensitivity"/>
    <w:basedOn w:val="Normal"/>
    <w:link w:val="FooterSensitivityChar"/>
    <w:pPr>
      <w:pBdr>
        <w:top w:val="single" w:sz="4" w:space="1" w:color="auto"/>
        <w:left w:val="single" w:sz="4" w:space="4" w:color="auto"/>
        <w:bottom w:val="single" w:sz="4" w:space="1" w:color="auto"/>
        <w:right w:val="single" w:sz="4" w:space="4" w:color="auto"/>
      </w:pBdr>
      <w:spacing w:before="360" w:after="0" w:line="240" w:lineRule="auto"/>
      <w:ind w:left="113" w:right="113"/>
      <w:jc w:val="center"/>
    </w:pPr>
    <w:rPr>
      <w:rFonts w:ascii="Times New Roman" w:hAnsi="Times New Roman"/>
      <w:b/>
      <w:sz w:val="32"/>
    </w:rPr>
  </w:style>
  <w:style w:type="character" w:customStyle="1" w:styleId="FooterSensitivityChar">
    <w:name w:val="Footer Sensitivity Char"/>
    <w:link w:val="FooterSensitivity"/>
    <w:rPr>
      <w:rFonts w:ascii="Times New Roman" w:hAnsi="Times New Roman" w:cs="Times New Roman"/>
      <w:b/>
      <w:sz w:val="32"/>
    </w:rPr>
  </w:style>
  <w:style w:type="paragraph" w:customStyle="1" w:styleId="HeaderCoverPage">
    <w:name w:val="Header Cover Page"/>
    <w:basedOn w:val="Normal"/>
    <w:link w:val="HeaderCoverPageChar"/>
    <w:pPr>
      <w:tabs>
        <w:tab w:val="center" w:pos="4535"/>
        <w:tab w:val="right" w:pos="9071"/>
      </w:tabs>
      <w:spacing w:after="120" w:line="240" w:lineRule="auto"/>
      <w:jc w:val="both"/>
    </w:pPr>
    <w:rPr>
      <w:rFonts w:ascii="Times New Roman" w:hAnsi="Times New Roman"/>
      <w:sz w:val="24"/>
    </w:rPr>
  </w:style>
  <w:style w:type="character" w:customStyle="1" w:styleId="HeaderCoverPageChar">
    <w:name w:val="Header Cover Page Char"/>
    <w:link w:val="HeaderCoverPage"/>
    <w:rPr>
      <w:rFonts w:ascii="Times New Roman" w:hAnsi="Times New Roman" w:cs="Times New Roman"/>
      <w:sz w:val="24"/>
    </w:rPr>
  </w:style>
  <w:style w:type="paragraph" w:customStyle="1" w:styleId="HeaderSensitivity">
    <w:name w:val="Header Sensitivity"/>
    <w:basedOn w:val="Normal"/>
    <w:link w:val="HeaderSensitivityChar"/>
    <w:pPr>
      <w:pBdr>
        <w:top w:val="single" w:sz="4" w:space="1" w:color="auto"/>
        <w:left w:val="single" w:sz="4" w:space="4" w:color="auto"/>
        <w:bottom w:val="single" w:sz="4" w:space="1" w:color="auto"/>
        <w:right w:val="single" w:sz="4" w:space="4" w:color="auto"/>
      </w:pBdr>
      <w:spacing w:after="120" w:line="240" w:lineRule="auto"/>
      <w:ind w:left="113" w:right="113"/>
      <w:jc w:val="center"/>
    </w:pPr>
    <w:rPr>
      <w:rFonts w:ascii="Times New Roman" w:hAnsi="Times New Roman"/>
      <w:b/>
      <w:sz w:val="32"/>
    </w:rPr>
  </w:style>
  <w:style w:type="character" w:customStyle="1" w:styleId="HeaderSensitivityChar">
    <w:name w:val="Header Sensitivity Char"/>
    <w:link w:val="HeaderSensitivity"/>
    <w:rPr>
      <w:rFonts w:ascii="Times New Roman" w:hAnsi="Times New Roman" w:cs="Times New Roman"/>
      <w:b/>
      <w:sz w:val="32"/>
    </w:rPr>
  </w:style>
  <w:style w:type="paragraph" w:customStyle="1" w:styleId="HeaderSensitivityRight">
    <w:name w:val="Header Sensitivity Right"/>
    <w:basedOn w:val="Normal"/>
    <w:link w:val="HeaderSensitivityRightChar"/>
    <w:pPr>
      <w:spacing w:after="120" w:line="240" w:lineRule="auto"/>
      <w:jc w:val="right"/>
    </w:pPr>
    <w:rPr>
      <w:rFonts w:ascii="Times New Roman" w:hAnsi="Times New Roman"/>
      <w:sz w:val="28"/>
    </w:rPr>
  </w:style>
  <w:style w:type="character" w:customStyle="1" w:styleId="HeaderSensitivityRightChar">
    <w:name w:val="Header Sensitivity Right Char"/>
    <w:link w:val="HeaderSensitivityRight"/>
    <w:rPr>
      <w:rFonts w:ascii="Times New Roman" w:hAnsi="Times New Roman" w:cs="Times New Roman"/>
      <w:sz w:val="28"/>
    </w:rPr>
  </w:style>
  <w:style w:type="character" w:customStyle="1" w:styleId="Heading1Char">
    <w:name w:val="Heading 1 Char"/>
    <w:link w:val="Heading1"/>
    <w:uiPriority w:val="9"/>
    <w:rPr>
      <w:rFonts w:ascii="Times New Roman" w:eastAsia="Times New Roman" w:hAnsi="Times New Roman" w:cs="Times New Roman"/>
      <w:b/>
      <w:bCs/>
      <w:smallCaps/>
      <w:sz w:val="24"/>
      <w:szCs w:val="28"/>
    </w:rPr>
  </w:style>
  <w:style w:type="character" w:customStyle="1" w:styleId="Heading2Char">
    <w:name w:val="Heading 2 Char"/>
    <w:link w:val="Heading2"/>
    <w:uiPriority w:val="9"/>
    <w:semiHidden/>
    <w:rPr>
      <w:rFonts w:ascii="Times New Roman" w:eastAsia="Times New Roman" w:hAnsi="Times New Roman" w:cs="Times New Roman"/>
      <w:b/>
      <w:bCs/>
      <w:sz w:val="24"/>
      <w:szCs w:val="26"/>
    </w:rPr>
  </w:style>
  <w:style w:type="character" w:customStyle="1" w:styleId="Heading3Char">
    <w:name w:val="Heading 3 Char"/>
    <w:link w:val="Heading3"/>
    <w:uiPriority w:val="9"/>
    <w:semiHidden/>
    <w:rPr>
      <w:rFonts w:ascii="Times New Roman" w:eastAsia="Times New Roman" w:hAnsi="Times New Roman" w:cs="Times New Roman"/>
      <w:bCs/>
      <w:i/>
      <w:sz w:val="24"/>
    </w:rPr>
  </w:style>
  <w:style w:type="character" w:customStyle="1" w:styleId="Heading4Char">
    <w:name w:val="Heading 4 Char"/>
    <w:link w:val="Heading4"/>
    <w:uiPriority w:val="9"/>
    <w:semiHidden/>
    <w:rPr>
      <w:rFonts w:ascii="Times New Roman" w:eastAsia="Times New Roman" w:hAnsi="Times New Roman" w:cs="Times New Roman"/>
      <w:bCs/>
      <w:iCs/>
      <w:sz w:val="24"/>
    </w:rPr>
  </w:style>
  <w:style w:type="numbering" w:customStyle="1" w:styleId="NoList1">
    <w:name w:val="No List1"/>
    <w:next w:val="NoList"/>
    <w:uiPriority w:val="99"/>
    <w:semiHidden/>
    <w:unhideWhenUsed/>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unhideWhenUsed/>
    <w:pPr>
      <w:spacing w:before="120" w:after="120" w:line="240" w:lineRule="auto"/>
      <w:jc w:val="both"/>
    </w:pPr>
    <w:rPr>
      <w:rFonts w:ascii="Times New Roman" w:hAnsi="Times New Roman"/>
      <w:sz w:val="20"/>
      <w:szCs w:val="20"/>
    </w:rPr>
  </w:style>
  <w:style w:type="character" w:customStyle="1" w:styleId="CommentTextChar">
    <w:name w:val="Comment Text Char"/>
    <w:link w:val="CommentText"/>
    <w:uiPriority w:val="99"/>
    <w:rPr>
      <w:rFonts w:ascii="Times New Roman" w:hAnsi="Times New Roman" w:cs="Times New Roman"/>
      <w:sz w:val="20"/>
      <w:szCs w:val="20"/>
    </w:rPr>
  </w:style>
  <w:style w:type="paragraph" w:styleId="BalloonText">
    <w:name w:val="Balloon Text"/>
    <w:basedOn w:val="Normal"/>
    <w:link w:val="BalloonTextChar"/>
    <w:uiPriority w:val="99"/>
    <w:semiHidden/>
    <w:unhideWhenUsed/>
    <w:pPr>
      <w:spacing w:after="0" w:line="240" w:lineRule="auto"/>
      <w:jc w:val="both"/>
    </w:pPr>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rPr>
  </w:style>
  <w:style w:type="paragraph" w:styleId="ListBullet">
    <w:name w:val="List Bullet"/>
    <w:basedOn w:val="Normal"/>
    <w:uiPriority w:val="99"/>
    <w:unhideWhenUsed/>
    <w:pPr>
      <w:numPr>
        <w:numId w:val="1"/>
      </w:numPr>
      <w:spacing w:before="120" w:after="120" w:line="240" w:lineRule="auto"/>
      <w:contextualSpacing/>
      <w:jc w:val="both"/>
    </w:pPr>
    <w:rPr>
      <w:rFonts w:ascii="Times New Roman" w:hAnsi="Times New Roman"/>
      <w:sz w:val="24"/>
    </w:rPr>
  </w:style>
  <w:style w:type="paragraph" w:styleId="ListBullet2">
    <w:name w:val="List Bullet 2"/>
    <w:basedOn w:val="Normal"/>
    <w:uiPriority w:val="99"/>
    <w:semiHidden/>
    <w:unhideWhenUsed/>
    <w:pPr>
      <w:numPr>
        <w:numId w:val="2"/>
      </w:numPr>
      <w:spacing w:before="120" w:after="120" w:line="240" w:lineRule="auto"/>
      <w:contextualSpacing/>
      <w:jc w:val="both"/>
    </w:pPr>
    <w:rPr>
      <w:rFonts w:ascii="Times New Roman" w:hAnsi="Times New Roman"/>
      <w:sz w:val="24"/>
    </w:rPr>
  </w:style>
  <w:style w:type="paragraph" w:styleId="ListBullet3">
    <w:name w:val="List Bullet 3"/>
    <w:basedOn w:val="Normal"/>
    <w:uiPriority w:val="99"/>
    <w:semiHidden/>
    <w:unhideWhenUsed/>
    <w:pPr>
      <w:numPr>
        <w:numId w:val="3"/>
      </w:numPr>
      <w:spacing w:before="120" w:after="120" w:line="240" w:lineRule="auto"/>
      <w:contextualSpacing/>
      <w:jc w:val="both"/>
    </w:pPr>
    <w:rPr>
      <w:rFonts w:ascii="Times New Roman" w:hAnsi="Times New Roman"/>
      <w:sz w:val="24"/>
    </w:rPr>
  </w:style>
  <w:style w:type="paragraph" w:styleId="ListBullet4">
    <w:name w:val="List Bullet 4"/>
    <w:basedOn w:val="Normal"/>
    <w:uiPriority w:val="99"/>
    <w:semiHidden/>
    <w:unhideWhenUsed/>
    <w:pPr>
      <w:numPr>
        <w:numId w:val="4"/>
      </w:numPr>
      <w:spacing w:before="120" w:after="120" w:line="240" w:lineRule="auto"/>
      <w:contextualSpacing/>
      <w:jc w:val="both"/>
    </w:pPr>
    <w:rPr>
      <w:rFonts w:ascii="Times New Roman" w:hAnsi="Times New Roman"/>
      <w:sz w:val="24"/>
    </w:rPr>
  </w:style>
  <w:style w:type="paragraph" w:styleId="ListParagraph">
    <w:name w:val="List Paragraph"/>
    <w:basedOn w:val="Normal"/>
    <w:uiPriority w:val="34"/>
    <w:qFormat/>
    <w:pPr>
      <w:spacing w:after="160" w:line="259" w:lineRule="auto"/>
      <w:ind w:left="720"/>
      <w:contextualSpacing/>
    </w:p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rFonts w:ascii="Times New Roman" w:hAnsi="Times New Roman" w:cs="Times New Roman"/>
      <w:b/>
      <w:bCs/>
      <w:sz w:val="20"/>
      <w:szCs w:val="20"/>
    </w:rPr>
  </w:style>
  <w:style w:type="paragraph" w:customStyle="1" w:styleId="Titreobjet">
    <w:name w:val="Titre objet"/>
    <w:basedOn w:val="Normal"/>
    <w:next w:val="IntrtEEE"/>
    <w:pPr>
      <w:spacing w:before="360" w:after="360" w:line="240" w:lineRule="auto"/>
      <w:jc w:val="center"/>
    </w:pPr>
    <w:rPr>
      <w:rFonts w:ascii="Times New Roman" w:hAnsi="Times New Roman"/>
      <w:b/>
      <w:sz w:val="24"/>
    </w:rPr>
  </w:style>
  <w:style w:type="paragraph" w:customStyle="1" w:styleId="TitreobjetPagedecouverture">
    <w:name w:val="Titre objet (Page de couverture)"/>
    <w:basedOn w:val="Titreobjet"/>
    <w:next w:val="IntrtEEEPagedecouverture"/>
  </w:style>
  <w:style w:type="paragraph" w:styleId="Caption">
    <w:name w:val="caption"/>
    <w:basedOn w:val="Normal"/>
    <w:next w:val="Normal"/>
    <w:uiPriority w:val="35"/>
    <w:semiHidden/>
    <w:unhideWhenUsed/>
    <w:qFormat/>
    <w:pPr>
      <w:spacing w:line="240" w:lineRule="auto"/>
      <w:jc w:val="both"/>
    </w:pPr>
    <w:rPr>
      <w:rFonts w:ascii="Times New Roman" w:hAnsi="Times New Roman"/>
      <w:i/>
      <w:iCs/>
      <w:color w:val="1F497D"/>
      <w:sz w:val="18"/>
      <w:szCs w:val="18"/>
    </w:rPr>
  </w:style>
  <w:style w:type="paragraph" w:styleId="TableofFigures">
    <w:name w:val="table of figures"/>
    <w:basedOn w:val="Normal"/>
    <w:next w:val="Normal"/>
    <w:uiPriority w:val="99"/>
    <w:semiHidden/>
    <w:unhideWhenUsed/>
    <w:pPr>
      <w:spacing w:before="120" w:after="0" w:line="240" w:lineRule="auto"/>
      <w:jc w:val="both"/>
    </w:pPr>
    <w:rPr>
      <w:rFonts w:ascii="Times New Roman" w:hAnsi="Times New Roman"/>
      <w:sz w:val="24"/>
    </w:rPr>
  </w:style>
  <w:style w:type="paragraph" w:styleId="ListNumber">
    <w:name w:val="List Number"/>
    <w:basedOn w:val="Normal"/>
    <w:uiPriority w:val="99"/>
    <w:semiHidden/>
    <w:unhideWhenUsed/>
    <w:pPr>
      <w:numPr>
        <w:numId w:val="5"/>
      </w:numPr>
      <w:spacing w:before="120" w:after="120" w:line="240" w:lineRule="auto"/>
      <w:contextualSpacing/>
      <w:jc w:val="both"/>
    </w:pPr>
    <w:rPr>
      <w:rFonts w:ascii="Times New Roman" w:hAnsi="Times New Roman"/>
      <w:sz w:val="24"/>
    </w:rPr>
  </w:style>
  <w:style w:type="paragraph" w:styleId="ListNumber2">
    <w:name w:val="List Number 2"/>
    <w:basedOn w:val="Normal"/>
    <w:uiPriority w:val="99"/>
    <w:semiHidden/>
    <w:unhideWhenUsed/>
    <w:pPr>
      <w:numPr>
        <w:numId w:val="6"/>
      </w:numPr>
      <w:spacing w:before="120" w:after="120" w:line="240" w:lineRule="auto"/>
      <w:contextualSpacing/>
      <w:jc w:val="both"/>
    </w:pPr>
    <w:rPr>
      <w:rFonts w:ascii="Times New Roman" w:hAnsi="Times New Roman"/>
      <w:sz w:val="24"/>
    </w:rPr>
  </w:style>
  <w:style w:type="paragraph" w:styleId="ListNumber3">
    <w:name w:val="List Number 3"/>
    <w:basedOn w:val="Normal"/>
    <w:uiPriority w:val="99"/>
    <w:semiHidden/>
    <w:unhideWhenUsed/>
    <w:pPr>
      <w:numPr>
        <w:numId w:val="7"/>
      </w:numPr>
      <w:spacing w:before="120" w:after="120" w:line="240" w:lineRule="auto"/>
      <w:contextualSpacing/>
      <w:jc w:val="both"/>
    </w:pPr>
    <w:rPr>
      <w:rFonts w:ascii="Times New Roman" w:hAnsi="Times New Roman"/>
      <w:sz w:val="24"/>
    </w:rPr>
  </w:style>
  <w:style w:type="paragraph" w:styleId="ListNumber4">
    <w:name w:val="List Number 4"/>
    <w:basedOn w:val="Normal"/>
    <w:uiPriority w:val="99"/>
    <w:semiHidden/>
    <w:unhideWhenUsed/>
    <w:pPr>
      <w:numPr>
        <w:numId w:val="8"/>
      </w:numPr>
      <w:spacing w:before="120" w:after="120" w:line="240" w:lineRule="auto"/>
      <w:contextualSpacing/>
      <w:jc w:val="both"/>
    </w:pPr>
    <w:rPr>
      <w:rFonts w:ascii="Times New Roman" w:hAnsi="Times New Roman"/>
      <w:sz w:val="24"/>
    </w:rPr>
  </w:style>
  <w:style w:type="character" w:styleId="Hyperlink">
    <w:name w:val="Hyperlink"/>
    <w:uiPriority w:val="99"/>
    <w:unhideWhenUsed/>
    <w:rPr>
      <w:color w:val="0000FF"/>
      <w:u w:val="single"/>
    </w:rPr>
  </w:style>
  <w:style w:type="paragraph" w:customStyle="1" w:styleId="Normal1">
    <w:name w:val="Normal1"/>
    <w:basedOn w:val="Normal"/>
    <w:pPr>
      <w:spacing w:before="100" w:beforeAutospacing="1" w:after="100" w:afterAutospacing="1" w:line="240" w:lineRule="auto"/>
    </w:pPr>
    <w:rPr>
      <w:rFonts w:ascii="Times New Roman" w:eastAsia="Times New Roman" w:hAnsi="Times New Roman"/>
      <w:sz w:val="24"/>
      <w:szCs w:val="24"/>
      <w:lang w:eastAsia="en-GB"/>
    </w:rPr>
  </w:style>
  <w:style w:type="character" w:styleId="Emphasis">
    <w:name w:val="Emphasis"/>
    <w:uiPriority w:val="20"/>
    <w:qFormat/>
    <w:rPr>
      <w:i/>
      <w:iCs/>
    </w:rPr>
  </w:style>
  <w:style w:type="paragraph" w:styleId="FootnoteText">
    <w:name w:val="footnote text"/>
    <w:basedOn w:val="Normal"/>
    <w:link w:val="FootnoteTextChar"/>
    <w:uiPriority w:val="99"/>
    <w:semiHidden/>
    <w:unhideWhenUsed/>
    <w:pPr>
      <w:spacing w:after="0" w:line="240" w:lineRule="auto"/>
      <w:ind w:left="720" w:hanging="720"/>
      <w:jc w:val="both"/>
    </w:pPr>
    <w:rPr>
      <w:rFonts w:ascii="Times New Roman" w:hAnsi="Times New Roman"/>
      <w:sz w:val="20"/>
      <w:szCs w:val="20"/>
    </w:rPr>
  </w:style>
  <w:style w:type="character" w:customStyle="1" w:styleId="FootnoteTextChar">
    <w:name w:val="Footnote Text Char"/>
    <w:link w:val="FootnoteText"/>
    <w:uiPriority w:val="99"/>
    <w:semiHidden/>
    <w:rPr>
      <w:rFonts w:ascii="Times New Roman" w:hAnsi="Times New Roman" w:cs="Times New Roman"/>
      <w:sz w:val="20"/>
      <w:szCs w:val="20"/>
    </w:rPr>
  </w:style>
  <w:style w:type="paragraph" w:styleId="TOCHeading">
    <w:name w:val="TOC Heading"/>
    <w:basedOn w:val="Normal"/>
    <w:next w:val="Normal"/>
    <w:uiPriority w:val="39"/>
    <w:semiHidden/>
    <w:unhideWhenUsed/>
    <w:qFormat/>
    <w:pPr>
      <w:spacing w:before="120" w:after="240" w:line="240" w:lineRule="auto"/>
      <w:jc w:val="center"/>
    </w:pPr>
    <w:rPr>
      <w:rFonts w:ascii="Times New Roman" w:hAnsi="Times New Roman"/>
      <w:b/>
      <w:sz w:val="28"/>
    </w:rPr>
  </w:style>
  <w:style w:type="paragraph" w:styleId="TOC1">
    <w:name w:val="toc 1"/>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2">
    <w:name w:val="toc 2"/>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3">
    <w:name w:val="toc 3"/>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4">
    <w:name w:val="toc 4"/>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5">
    <w:name w:val="toc 5"/>
    <w:basedOn w:val="Normal"/>
    <w:next w:val="Normal"/>
    <w:uiPriority w:val="39"/>
    <w:semiHidden/>
    <w:unhideWhenUsed/>
    <w:pPr>
      <w:tabs>
        <w:tab w:val="right" w:leader="dot" w:pos="9071"/>
      </w:tabs>
      <w:spacing w:before="300" w:after="120" w:line="240" w:lineRule="auto"/>
    </w:pPr>
    <w:rPr>
      <w:rFonts w:ascii="Times New Roman" w:hAnsi="Times New Roman"/>
      <w:sz w:val="24"/>
    </w:rPr>
  </w:style>
  <w:style w:type="paragraph" w:styleId="TOC6">
    <w:name w:val="toc 6"/>
    <w:basedOn w:val="Normal"/>
    <w:next w:val="Normal"/>
    <w:uiPriority w:val="39"/>
    <w:semiHidden/>
    <w:unhideWhenUsed/>
    <w:pPr>
      <w:tabs>
        <w:tab w:val="right" w:leader="dot" w:pos="9071"/>
      </w:tabs>
      <w:spacing w:before="240" w:after="120" w:line="240" w:lineRule="auto"/>
    </w:pPr>
    <w:rPr>
      <w:rFonts w:ascii="Times New Roman" w:hAnsi="Times New Roman"/>
      <w:sz w:val="24"/>
    </w:rPr>
  </w:style>
  <w:style w:type="paragraph" w:styleId="TOC7">
    <w:name w:val="toc 7"/>
    <w:basedOn w:val="Normal"/>
    <w:next w:val="Normal"/>
    <w:uiPriority w:val="39"/>
    <w:semiHidden/>
    <w:unhideWhenUsed/>
    <w:pPr>
      <w:tabs>
        <w:tab w:val="right" w:leader="dot" w:pos="9071"/>
      </w:tabs>
      <w:spacing w:before="180" w:after="120" w:line="240" w:lineRule="auto"/>
    </w:pPr>
    <w:rPr>
      <w:rFonts w:ascii="Times New Roman" w:hAnsi="Times New Roman"/>
      <w:sz w:val="24"/>
    </w:rPr>
  </w:style>
  <w:style w:type="paragraph" w:styleId="TOC8">
    <w:name w:val="toc 8"/>
    <w:basedOn w:val="Normal"/>
    <w:next w:val="Normal"/>
    <w:uiPriority w:val="39"/>
    <w:semiHidden/>
    <w:unhideWhenUsed/>
    <w:pPr>
      <w:tabs>
        <w:tab w:val="right" w:leader="dot" w:pos="9071"/>
      </w:tabs>
      <w:spacing w:before="120" w:after="120" w:line="240" w:lineRule="auto"/>
    </w:pPr>
    <w:rPr>
      <w:rFonts w:ascii="Times New Roman" w:hAnsi="Times New Roman"/>
      <w:sz w:val="24"/>
    </w:rPr>
  </w:style>
  <w:style w:type="paragraph" w:styleId="TOC9">
    <w:name w:val="toc 9"/>
    <w:basedOn w:val="Normal"/>
    <w:next w:val="Normal"/>
    <w:uiPriority w:val="39"/>
    <w:semiHidden/>
    <w:unhideWhenUsed/>
    <w:pPr>
      <w:tabs>
        <w:tab w:val="right" w:leader="dot" w:pos="9071"/>
      </w:tabs>
      <w:spacing w:before="120" w:after="120" w:line="240" w:lineRule="auto"/>
      <w:jc w:val="both"/>
    </w:pPr>
    <w:rPr>
      <w:rFonts w:ascii="Times New Roman" w:hAnsi="Times New Roman"/>
      <w:sz w:val="24"/>
    </w:rPr>
  </w:style>
  <w:style w:type="paragraph" w:customStyle="1" w:styleId="HeaderLandscape">
    <w:name w:val="HeaderLandscape"/>
    <w:basedOn w:val="Normal"/>
    <w:pPr>
      <w:tabs>
        <w:tab w:val="center" w:pos="7285"/>
        <w:tab w:val="right" w:pos="14003"/>
      </w:tabs>
      <w:spacing w:after="120" w:line="240" w:lineRule="auto"/>
      <w:jc w:val="both"/>
    </w:pPr>
    <w:rPr>
      <w:rFonts w:ascii="Times New Roman" w:hAnsi="Times New Roman"/>
      <w:sz w:val="24"/>
    </w:rPr>
  </w:style>
  <w:style w:type="paragraph" w:customStyle="1" w:styleId="FooterLandscape">
    <w:name w:val="FooterLandscape"/>
    <w:basedOn w:val="Normal"/>
    <w:pPr>
      <w:tabs>
        <w:tab w:val="center" w:pos="7285"/>
        <w:tab w:val="center" w:pos="10913"/>
        <w:tab w:val="right" w:pos="15137"/>
      </w:tabs>
      <w:spacing w:before="360" w:after="0" w:line="240" w:lineRule="auto"/>
      <w:ind w:left="-567" w:right="-567"/>
    </w:pPr>
    <w:rPr>
      <w:rFonts w:ascii="Times New Roman" w:hAnsi="Times New Roman"/>
      <w:sz w:val="24"/>
    </w:rPr>
  </w:style>
  <w:style w:type="character" w:styleId="FootnoteReference">
    <w:name w:val="footnote reference"/>
    <w:uiPriority w:val="99"/>
    <w:semiHidden/>
    <w:unhideWhenUsed/>
    <w:rPr>
      <w:shd w:val="clear" w:color="auto" w:fill="auto"/>
      <w:vertAlign w:val="superscript"/>
    </w:rPr>
  </w:style>
  <w:style w:type="paragraph" w:customStyle="1" w:styleId="Text1">
    <w:name w:val="Text 1"/>
    <w:basedOn w:val="Normal"/>
    <w:pPr>
      <w:spacing w:before="120" w:after="120" w:line="240" w:lineRule="auto"/>
      <w:ind w:left="850"/>
      <w:jc w:val="both"/>
    </w:pPr>
    <w:rPr>
      <w:rFonts w:ascii="Times New Roman" w:hAnsi="Times New Roman"/>
      <w:sz w:val="24"/>
    </w:rPr>
  </w:style>
  <w:style w:type="paragraph" w:customStyle="1" w:styleId="Text2">
    <w:name w:val="Text 2"/>
    <w:basedOn w:val="Normal"/>
    <w:pPr>
      <w:spacing w:before="120" w:after="120" w:line="240" w:lineRule="auto"/>
      <w:ind w:left="1417"/>
      <w:jc w:val="both"/>
    </w:pPr>
    <w:rPr>
      <w:rFonts w:ascii="Times New Roman" w:hAnsi="Times New Roman"/>
      <w:sz w:val="24"/>
    </w:rPr>
  </w:style>
  <w:style w:type="paragraph" w:customStyle="1" w:styleId="Text3">
    <w:name w:val="Text 3"/>
    <w:basedOn w:val="Normal"/>
    <w:pPr>
      <w:spacing w:before="120" w:after="120" w:line="240" w:lineRule="auto"/>
      <w:ind w:left="1984"/>
      <w:jc w:val="both"/>
    </w:pPr>
    <w:rPr>
      <w:rFonts w:ascii="Times New Roman" w:hAnsi="Times New Roman"/>
      <w:sz w:val="24"/>
    </w:rPr>
  </w:style>
  <w:style w:type="paragraph" w:customStyle="1" w:styleId="Text4">
    <w:name w:val="Text 4"/>
    <w:basedOn w:val="Normal"/>
    <w:pPr>
      <w:spacing w:before="120" w:after="120" w:line="240" w:lineRule="auto"/>
      <w:ind w:left="2551"/>
      <w:jc w:val="both"/>
    </w:pPr>
    <w:rPr>
      <w:rFonts w:ascii="Times New Roman" w:hAnsi="Times New Roman"/>
      <w:sz w:val="24"/>
    </w:rPr>
  </w:style>
  <w:style w:type="paragraph" w:customStyle="1" w:styleId="NormalCentered">
    <w:name w:val="Normal Centered"/>
    <w:basedOn w:val="Normal"/>
    <w:pPr>
      <w:spacing w:before="120" w:after="120" w:line="240" w:lineRule="auto"/>
      <w:jc w:val="center"/>
    </w:pPr>
    <w:rPr>
      <w:rFonts w:ascii="Times New Roman" w:hAnsi="Times New Roman"/>
      <w:sz w:val="24"/>
    </w:rPr>
  </w:style>
  <w:style w:type="paragraph" w:customStyle="1" w:styleId="NormalLeft">
    <w:name w:val="Normal Left"/>
    <w:basedOn w:val="Normal"/>
    <w:pPr>
      <w:spacing w:before="120" w:after="120" w:line="240" w:lineRule="auto"/>
    </w:pPr>
    <w:rPr>
      <w:rFonts w:ascii="Times New Roman" w:hAnsi="Times New Roman"/>
      <w:sz w:val="24"/>
    </w:rPr>
  </w:style>
  <w:style w:type="paragraph" w:customStyle="1" w:styleId="NormalRight">
    <w:name w:val="Normal Right"/>
    <w:basedOn w:val="Normal"/>
    <w:pPr>
      <w:spacing w:before="120" w:after="120" w:line="240" w:lineRule="auto"/>
      <w:jc w:val="right"/>
    </w:pPr>
    <w:rPr>
      <w:rFonts w:ascii="Times New Roman" w:hAnsi="Times New Roman"/>
      <w:sz w:val="24"/>
    </w:rPr>
  </w:style>
  <w:style w:type="paragraph" w:customStyle="1" w:styleId="QuotedText">
    <w:name w:val="Quoted Text"/>
    <w:basedOn w:val="Normal"/>
    <w:pPr>
      <w:spacing w:before="120" w:after="120" w:line="240" w:lineRule="auto"/>
      <w:ind w:left="1417"/>
      <w:jc w:val="both"/>
    </w:pPr>
    <w:rPr>
      <w:rFonts w:ascii="Times New Roman" w:hAnsi="Times New Roman"/>
      <w:sz w:val="24"/>
    </w:rPr>
  </w:style>
  <w:style w:type="paragraph" w:customStyle="1" w:styleId="Point0">
    <w:name w:val="Point 0"/>
    <w:basedOn w:val="Normal"/>
    <w:pPr>
      <w:spacing w:before="120" w:after="120" w:line="240" w:lineRule="auto"/>
      <w:ind w:left="850" w:hanging="850"/>
      <w:jc w:val="both"/>
    </w:pPr>
    <w:rPr>
      <w:rFonts w:ascii="Times New Roman" w:hAnsi="Times New Roman"/>
      <w:sz w:val="24"/>
    </w:rPr>
  </w:style>
  <w:style w:type="paragraph" w:customStyle="1" w:styleId="Point1">
    <w:name w:val="Point 1"/>
    <w:basedOn w:val="Normal"/>
    <w:pPr>
      <w:spacing w:before="120" w:after="120" w:line="240" w:lineRule="auto"/>
      <w:ind w:left="1417" w:hanging="567"/>
      <w:jc w:val="both"/>
    </w:pPr>
    <w:rPr>
      <w:rFonts w:ascii="Times New Roman" w:hAnsi="Times New Roman"/>
      <w:sz w:val="24"/>
    </w:rPr>
  </w:style>
  <w:style w:type="paragraph" w:customStyle="1" w:styleId="Point2">
    <w:name w:val="Point 2"/>
    <w:basedOn w:val="Normal"/>
    <w:pPr>
      <w:spacing w:before="120" w:after="120" w:line="240" w:lineRule="auto"/>
      <w:ind w:left="1984" w:hanging="567"/>
      <w:jc w:val="both"/>
    </w:pPr>
    <w:rPr>
      <w:rFonts w:ascii="Times New Roman" w:hAnsi="Times New Roman"/>
      <w:sz w:val="24"/>
    </w:rPr>
  </w:style>
  <w:style w:type="paragraph" w:customStyle="1" w:styleId="Point3">
    <w:name w:val="Point 3"/>
    <w:basedOn w:val="Normal"/>
    <w:pPr>
      <w:spacing w:before="120" w:after="120" w:line="240" w:lineRule="auto"/>
      <w:ind w:left="2551" w:hanging="567"/>
      <w:jc w:val="both"/>
    </w:pPr>
    <w:rPr>
      <w:rFonts w:ascii="Times New Roman" w:hAnsi="Times New Roman"/>
      <w:sz w:val="24"/>
    </w:rPr>
  </w:style>
  <w:style w:type="paragraph" w:customStyle="1" w:styleId="Point4">
    <w:name w:val="Point 4"/>
    <w:basedOn w:val="Normal"/>
    <w:pPr>
      <w:spacing w:before="120" w:after="120" w:line="240" w:lineRule="auto"/>
      <w:ind w:left="3118" w:hanging="567"/>
      <w:jc w:val="both"/>
    </w:pPr>
    <w:rPr>
      <w:rFonts w:ascii="Times New Roman" w:hAnsi="Times New Roman"/>
      <w:sz w:val="24"/>
    </w:rPr>
  </w:style>
  <w:style w:type="paragraph" w:customStyle="1" w:styleId="Tiret0">
    <w:name w:val="Tiret 0"/>
    <w:basedOn w:val="Point0"/>
    <w:pPr>
      <w:tabs>
        <w:tab w:val="num" w:pos="720"/>
      </w:tabs>
      <w:ind w:left="720" w:hanging="720"/>
    </w:pPr>
  </w:style>
  <w:style w:type="paragraph" w:customStyle="1" w:styleId="Tiret1">
    <w:name w:val="Tiret 1"/>
    <w:basedOn w:val="Point1"/>
    <w:pPr>
      <w:tabs>
        <w:tab w:val="num" w:pos="720"/>
      </w:tabs>
      <w:ind w:left="720" w:hanging="720"/>
    </w:pPr>
  </w:style>
  <w:style w:type="paragraph" w:customStyle="1" w:styleId="Tiret2">
    <w:name w:val="Tiret 2"/>
    <w:basedOn w:val="Point2"/>
    <w:pPr>
      <w:tabs>
        <w:tab w:val="num" w:pos="720"/>
      </w:tabs>
      <w:ind w:left="720" w:hanging="720"/>
    </w:pPr>
  </w:style>
  <w:style w:type="paragraph" w:customStyle="1" w:styleId="Tiret3">
    <w:name w:val="Tiret 3"/>
    <w:basedOn w:val="Point3"/>
    <w:pPr>
      <w:tabs>
        <w:tab w:val="num" w:pos="720"/>
      </w:tabs>
      <w:ind w:left="720" w:hanging="720"/>
    </w:pPr>
  </w:style>
  <w:style w:type="paragraph" w:customStyle="1" w:styleId="Tiret4">
    <w:name w:val="Tiret 4"/>
    <w:basedOn w:val="Point4"/>
    <w:pPr>
      <w:tabs>
        <w:tab w:val="num" w:pos="720"/>
      </w:tabs>
      <w:ind w:left="720" w:hanging="720"/>
    </w:pPr>
  </w:style>
  <w:style w:type="paragraph" w:customStyle="1" w:styleId="PointDouble0">
    <w:name w:val="PointDouble 0"/>
    <w:basedOn w:val="Normal"/>
    <w:pPr>
      <w:tabs>
        <w:tab w:val="left" w:pos="850"/>
      </w:tabs>
      <w:spacing w:before="120" w:after="120" w:line="240" w:lineRule="auto"/>
      <w:ind w:left="1417" w:hanging="1417"/>
      <w:jc w:val="both"/>
    </w:pPr>
    <w:rPr>
      <w:rFonts w:ascii="Times New Roman" w:hAnsi="Times New Roman"/>
      <w:sz w:val="24"/>
    </w:rPr>
  </w:style>
  <w:style w:type="paragraph" w:customStyle="1" w:styleId="PointDouble1">
    <w:name w:val="PointDouble 1"/>
    <w:basedOn w:val="Normal"/>
    <w:pPr>
      <w:tabs>
        <w:tab w:val="left" w:pos="1417"/>
      </w:tabs>
      <w:spacing w:before="120" w:after="120" w:line="240" w:lineRule="auto"/>
      <w:ind w:left="1984" w:hanging="1134"/>
      <w:jc w:val="both"/>
    </w:pPr>
    <w:rPr>
      <w:rFonts w:ascii="Times New Roman" w:hAnsi="Times New Roman"/>
      <w:sz w:val="24"/>
    </w:rPr>
  </w:style>
  <w:style w:type="paragraph" w:customStyle="1" w:styleId="PointDouble2">
    <w:name w:val="PointDouble 2"/>
    <w:basedOn w:val="Normal"/>
    <w:pPr>
      <w:tabs>
        <w:tab w:val="left" w:pos="1984"/>
      </w:tabs>
      <w:spacing w:before="120" w:after="120" w:line="240" w:lineRule="auto"/>
      <w:ind w:left="2551" w:hanging="1134"/>
      <w:jc w:val="both"/>
    </w:pPr>
    <w:rPr>
      <w:rFonts w:ascii="Times New Roman" w:hAnsi="Times New Roman"/>
      <w:sz w:val="24"/>
    </w:rPr>
  </w:style>
  <w:style w:type="paragraph" w:customStyle="1" w:styleId="PointDouble3">
    <w:name w:val="PointDouble 3"/>
    <w:basedOn w:val="Normal"/>
    <w:pPr>
      <w:tabs>
        <w:tab w:val="left" w:pos="2551"/>
      </w:tabs>
      <w:spacing w:before="120" w:after="120" w:line="240" w:lineRule="auto"/>
      <w:ind w:left="3118" w:hanging="1134"/>
      <w:jc w:val="both"/>
    </w:pPr>
    <w:rPr>
      <w:rFonts w:ascii="Times New Roman" w:hAnsi="Times New Roman"/>
      <w:sz w:val="24"/>
    </w:rPr>
  </w:style>
  <w:style w:type="paragraph" w:customStyle="1" w:styleId="PointDouble4">
    <w:name w:val="PointDouble 4"/>
    <w:basedOn w:val="Normal"/>
    <w:pPr>
      <w:tabs>
        <w:tab w:val="left" w:pos="3118"/>
      </w:tabs>
      <w:spacing w:before="120" w:after="120" w:line="240" w:lineRule="auto"/>
      <w:ind w:left="3685" w:hanging="1134"/>
      <w:jc w:val="both"/>
    </w:pPr>
    <w:rPr>
      <w:rFonts w:ascii="Times New Roman" w:hAnsi="Times New Roman"/>
      <w:sz w:val="24"/>
    </w:rPr>
  </w:style>
  <w:style w:type="paragraph" w:customStyle="1" w:styleId="PointTriple0">
    <w:name w:val="PointTriple 0"/>
    <w:basedOn w:val="Normal"/>
    <w:pPr>
      <w:tabs>
        <w:tab w:val="left" w:pos="850"/>
        <w:tab w:val="left" w:pos="1417"/>
      </w:tabs>
      <w:spacing w:before="120" w:after="120" w:line="240" w:lineRule="auto"/>
      <w:ind w:left="1984" w:hanging="1984"/>
      <w:jc w:val="both"/>
    </w:pPr>
    <w:rPr>
      <w:rFonts w:ascii="Times New Roman" w:hAnsi="Times New Roman"/>
      <w:sz w:val="24"/>
    </w:rPr>
  </w:style>
  <w:style w:type="paragraph" w:customStyle="1" w:styleId="PointTriple1">
    <w:name w:val="PointTriple 1"/>
    <w:basedOn w:val="Normal"/>
    <w:pPr>
      <w:tabs>
        <w:tab w:val="left" w:pos="1417"/>
        <w:tab w:val="left" w:pos="1984"/>
      </w:tabs>
      <w:spacing w:before="120" w:after="120" w:line="240" w:lineRule="auto"/>
      <w:ind w:left="2551" w:hanging="1701"/>
      <w:jc w:val="both"/>
    </w:pPr>
    <w:rPr>
      <w:rFonts w:ascii="Times New Roman" w:hAnsi="Times New Roman"/>
      <w:sz w:val="24"/>
    </w:rPr>
  </w:style>
  <w:style w:type="paragraph" w:customStyle="1" w:styleId="PointTriple2">
    <w:name w:val="PointTriple 2"/>
    <w:basedOn w:val="Normal"/>
    <w:pPr>
      <w:tabs>
        <w:tab w:val="left" w:pos="1984"/>
        <w:tab w:val="left" w:pos="2551"/>
      </w:tabs>
      <w:spacing w:before="120" w:after="120" w:line="240" w:lineRule="auto"/>
      <w:ind w:left="3118" w:hanging="1701"/>
      <w:jc w:val="both"/>
    </w:pPr>
    <w:rPr>
      <w:rFonts w:ascii="Times New Roman" w:hAnsi="Times New Roman"/>
      <w:sz w:val="24"/>
    </w:rPr>
  </w:style>
  <w:style w:type="paragraph" w:customStyle="1" w:styleId="PointTriple3">
    <w:name w:val="PointTriple 3"/>
    <w:basedOn w:val="Normal"/>
    <w:pPr>
      <w:tabs>
        <w:tab w:val="left" w:pos="2551"/>
        <w:tab w:val="left" w:pos="3118"/>
      </w:tabs>
      <w:spacing w:before="120" w:after="120" w:line="240" w:lineRule="auto"/>
      <w:ind w:left="3685" w:hanging="1701"/>
      <w:jc w:val="both"/>
    </w:pPr>
    <w:rPr>
      <w:rFonts w:ascii="Times New Roman" w:hAnsi="Times New Roman"/>
      <w:sz w:val="24"/>
    </w:rPr>
  </w:style>
  <w:style w:type="paragraph" w:customStyle="1" w:styleId="PointTriple4">
    <w:name w:val="PointTriple 4"/>
    <w:basedOn w:val="Normal"/>
    <w:pPr>
      <w:tabs>
        <w:tab w:val="left" w:pos="3118"/>
        <w:tab w:val="left" w:pos="3685"/>
      </w:tabs>
      <w:spacing w:before="120" w:after="120" w:line="240" w:lineRule="auto"/>
      <w:ind w:left="4252" w:hanging="1701"/>
      <w:jc w:val="both"/>
    </w:pPr>
    <w:rPr>
      <w:rFonts w:ascii="Times New Roman" w:hAnsi="Times New Roman"/>
      <w:sz w:val="24"/>
    </w:rPr>
  </w:style>
  <w:style w:type="paragraph" w:customStyle="1" w:styleId="NumPar1">
    <w:name w:val="NumPar 1"/>
    <w:basedOn w:val="Normal"/>
    <w:next w:val="Text1"/>
    <w:pPr>
      <w:tabs>
        <w:tab w:val="num" w:pos="720"/>
      </w:tabs>
      <w:spacing w:before="120" w:after="120" w:line="240" w:lineRule="auto"/>
      <w:ind w:left="720" w:hanging="720"/>
      <w:jc w:val="both"/>
    </w:pPr>
    <w:rPr>
      <w:rFonts w:ascii="Times New Roman" w:hAnsi="Times New Roman"/>
      <w:sz w:val="24"/>
    </w:rPr>
  </w:style>
  <w:style w:type="paragraph" w:customStyle="1" w:styleId="NumPar2">
    <w:name w:val="NumPar 2"/>
    <w:basedOn w:val="Normal"/>
    <w:next w:val="Text1"/>
    <w:pPr>
      <w:tabs>
        <w:tab w:val="num" w:pos="1440"/>
      </w:tabs>
      <w:spacing w:before="120" w:after="120" w:line="240" w:lineRule="auto"/>
      <w:ind w:left="1440" w:hanging="720"/>
      <w:jc w:val="both"/>
    </w:pPr>
    <w:rPr>
      <w:rFonts w:ascii="Times New Roman" w:hAnsi="Times New Roman"/>
      <w:sz w:val="24"/>
    </w:rPr>
  </w:style>
  <w:style w:type="paragraph" w:customStyle="1" w:styleId="NumPar3">
    <w:name w:val="NumPar 3"/>
    <w:basedOn w:val="Normal"/>
    <w:next w:val="Text1"/>
    <w:pPr>
      <w:tabs>
        <w:tab w:val="num" w:pos="2160"/>
      </w:tabs>
      <w:spacing w:before="120" w:after="120" w:line="240" w:lineRule="auto"/>
      <w:ind w:left="2160" w:hanging="720"/>
      <w:jc w:val="both"/>
    </w:pPr>
    <w:rPr>
      <w:rFonts w:ascii="Times New Roman" w:hAnsi="Times New Roman"/>
      <w:sz w:val="24"/>
    </w:rPr>
  </w:style>
  <w:style w:type="paragraph" w:customStyle="1" w:styleId="NumPar4">
    <w:name w:val="NumPar 4"/>
    <w:basedOn w:val="Normal"/>
    <w:next w:val="Text1"/>
    <w:pPr>
      <w:tabs>
        <w:tab w:val="num" w:pos="2880"/>
      </w:tabs>
      <w:spacing w:before="120" w:after="120" w:line="240" w:lineRule="auto"/>
      <w:ind w:left="2880" w:hanging="720"/>
      <w:jc w:val="both"/>
    </w:pPr>
    <w:rPr>
      <w:rFonts w:ascii="Times New Roman" w:hAnsi="Times New Roman"/>
      <w:sz w:val="24"/>
    </w:rPr>
  </w:style>
  <w:style w:type="paragraph" w:customStyle="1" w:styleId="ManualNumPar1">
    <w:name w:val="Manual NumPar 1"/>
    <w:basedOn w:val="Normal"/>
    <w:next w:val="Text1"/>
    <w:pPr>
      <w:spacing w:before="120" w:after="120" w:line="240" w:lineRule="auto"/>
      <w:ind w:left="850" w:hanging="850"/>
      <w:jc w:val="both"/>
    </w:pPr>
    <w:rPr>
      <w:rFonts w:ascii="Times New Roman" w:hAnsi="Times New Roman"/>
      <w:sz w:val="24"/>
    </w:rPr>
  </w:style>
  <w:style w:type="paragraph" w:customStyle="1" w:styleId="ManualNumPar2">
    <w:name w:val="Manual NumPar 2"/>
    <w:basedOn w:val="Normal"/>
    <w:next w:val="Text1"/>
    <w:pPr>
      <w:spacing w:before="120" w:after="120" w:line="240" w:lineRule="auto"/>
      <w:ind w:left="850" w:hanging="850"/>
      <w:jc w:val="both"/>
    </w:pPr>
    <w:rPr>
      <w:rFonts w:ascii="Times New Roman" w:hAnsi="Times New Roman"/>
      <w:sz w:val="24"/>
    </w:rPr>
  </w:style>
  <w:style w:type="paragraph" w:customStyle="1" w:styleId="ManualNumPar3">
    <w:name w:val="Manual NumPar 3"/>
    <w:basedOn w:val="Normal"/>
    <w:next w:val="Text1"/>
    <w:pPr>
      <w:spacing w:before="120" w:after="120" w:line="240" w:lineRule="auto"/>
      <w:ind w:left="850" w:hanging="850"/>
      <w:jc w:val="both"/>
    </w:pPr>
    <w:rPr>
      <w:rFonts w:ascii="Times New Roman" w:hAnsi="Times New Roman"/>
      <w:sz w:val="24"/>
    </w:rPr>
  </w:style>
  <w:style w:type="paragraph" w:customStyle="1" w:styleId="ManualNumPar4">
    <w:name w:val="Manual NumPar 4"/>
    <w:basedOn w:val="Normal"/>
    <w:next w:val="Text1"/>
    <w:pPr>
      <w:spacing w:before="120" w:after="120" w:line="240" w:lineRule="auto"/>
      <w:ind w:left="850" w:hanging="850"/>
      <w:jc w:val="both"/>
    </w:pPr>
    <w:rPr>
      <w:rFonts w:ascii="Times New Roman" w:hAnsi="Times New Roman"/>
      <w:sz w:val="24"/>
    </w:rPr>
  </w:style>
  <w:style w:type="paragraph" w:customStyle="1" w:styleId="QuotedNumPar">
    <w:name w:val="Quoted NumPar"/>
    <w:basedOn w:val="Normal"/>
    <w:pPr>
      <w:spacing w:before="120" w:after="120" w:line="240" w:lineRule="auto"/>
      <w:ind w:left="1417" w:hanging="567"/>
      <w:jc w:val="both"/>
    </w:pPr>
    <w:rPr>
      <w:rFonts w:ascii="Times New Roman" w:hAnsi="Times New Roman"/>
      <w:sz w:val="24"/>
    </w:rPr>
  </w:style>
  <w:style w:type="paragraph" w:customStyle="1" w:styleId="ManualHeading1">
    <w:name w:val="Manual Heading 1"/>
    <w:basedOn w:val="Normal"/>
    <w:next w:val="Text1"/>
    <w:pPr>
      <w:keepNext/>
      <w:tabs>
        <w:tab w:val="left" w:pos="850"/>
      </w:tabs>
      <w:spacing w:before="360" w:after="120" w:line="240" w:lineRule="auto"/>
      <w:ind w:left="850" w:hanging="850"/>
      <w:jc w:val="both"/>
      <w:outlineLvl w:val="0"/>
    </w:pPr>
    <w:rPr>
      <w:rFonts w:ascii="Times New Roman" w:hAnsi="Times New Roman"/>
      <w:b/>
      <w:smallCaps/>
      <w:sz w:val="24"/>
    </w:rPr>
  </w:style>
  <w:style w:type="paragraph" w:customStyle="1" w:styleId="ManualHeading2">
    <w:name w:val="Manual Heading 2"/>
    <w:basedOn w:val="Normal"/>
    <w:next w:val="Text1"/>
    <w:pPr>
      <w:keepNext/>
      <w:tabs>
        <w:tab w:val="left" w:pos="850"/>
      </w:tabs>
      <w:spacing w:before="120" w:after="120" w:line="240" w:lineRule="auto"/>
      <w:ind w:left="850" w:hanging="850"/>
      <w:jc w:val="both"/>
      <w:outlineLvl w:val="1"/>
    </w:pPr>
    <w:rPr>
      <w:rFonts w:ascii="Times New Roman" w:hAnsi="Times New Roman"/>
      <w:b/>
      <w:sz w:val="24"/>
    </w:rPr>
  </w:style>
  <w:style w:type="paragraph" w:customStyle="1" w:styleId="ManualHeading3">
    <w:name w:val="Manual Heading 3"/>
    <w:basedOn w:val="Normal"/>
    <w:next w:val="Text1"/>
    <w:pPr>
      <w:keepNext/>
      <w:tabs>
        <w:tab w:val="left" w:pos="850"/>
      </w:tabs>
      <w:spacing w:before="120" w:after="120" w:line="240" w:lineRule="auto"/>
      <w:ind w:left="850" w:hanging="850"/>
      <w:jc w:val="both"/>
      <w:outlineLvl w:val="2"/>
    </w:pPr>
    <w:rPr>
      <w:rFonts w:ascii="Times New Roman" w:hAnsi="Times New Roman"/>
      <w:i/>
      <w:sz w:val="24"/>
    </w:rPr>
  </w:style>
  <w:style w:type="paragraph" w:customStyle="1" w:styleId="ManualHeading4">
    <w:name w:val="Manual Heading 4"/>
    <w:basedOn w:val="Normal"/>
    <w:next w:val="Text1"/>
    <w:pPr>
      <w:keepNext/>
      <w:tabs>
        <w:tab w:val="left" w:pos="850"/>
      </w:tabs>
      <w:spacing w:before="120" w:after="120" w:line="240" w:lineRule="auto"/>
      <w:ind w:left="850" w:hanging="850"/>
      <w:jc w:val="both"/>
      <w:outlineLvl w:val="3"/>
    </w:pPr>
    <w:rPr>
      <w:rFonts w:ascii="Times New Roman" w:hAnsi="Times New Roman"/>
      <w:sz w:val="24"/>
    </w:rPr>
  </w:style>
  <w:style w:type="paragraph" w:customStyle="1" w:styleId="ChapterTitle">
    <w:name w:val="ChapterTitle"/>
    <w:basedOn w:val="Normal"/>
    <w:next w:val="Normal"/>
    <w:pPr>
      <w:keepNext/>
      <w:spacing w:before="120" w:after="360" w:line="240" w:lineRule="auto"/>
      <w:jc w:val="center"/>
    </w:pPr>
    <w:rPr>
      <w:rFonts w:ascii="Times New Roman" w:hAnsi="Times New Roman"/>
      <w:b/>
      <w:sz w:val="32"/>
    </w:rPr>
  </w:style>
  <w:style w:type="paragraph" w:customStyle="1" w:styleId="PartTitle">
    <w:name w:val="PartTitle"/>
    <w:basedOn w:val="Normal"/>
    <w:next w:val="ChapterTitle"/>
    <w:pPr>
      <w:keepNext/>
      <w:pageBreakBefore/>
      <w:spacing w:before="120" w:after="360" w:line="240" w:lineRule="auto"/>
      <w:jc w:val="center"/>
    </w:pPr>
    <w:rPr>
      <w:rFonts w:ascii="Times New Roman" w:hAnsi="Times New Roman"/>
      <w:b/>
      <w:sz w:val="36"/>
    </w:rPr>
  </w:style>
  <w:style w:type="paragraph" w:customStyle="1" w:styleId="SectionTitle">
    <w:name w:val="SectionTitle"/>
    <w:basedOn w:val="Normal"/>
    <w:next w:val="Heading1"/>
    <w:pPr>
      <w:keepNext/>
      <w:spacing w:before="120" w:after="360" w:line="240" w:lineRule="auto"/>
      <w:jc w:val="center"/>
    </w:pPr>
    <w:rPr>
      <w:rFonts w:ascii="Times New Roman" w:hAnsi="Times New Roman"/>
      <w:b/>
      <w:smallCaps/>
      <w:sz w:val="28"/>
    </w:rPr>
  </w:style>
  <w:style w:type="paragraph" w:customStyle="1" w:styleId="TableTitle">
    <w:name w:val="Table Title"/>
    <w:basedOn w:val="Normal"/>
    <w:next w:val="Normal"/>
    <w:pPr>
      <w:spacing w:before="120" w:after="120" w:line="240" w:lineRule="auto"/>
      <w:jc w:val="center"/>
    </w:pPr>
    <w:rPr>
      <w:rFonts w:ascii="Times New Roman" w:hAnsi="Times New Roman"/>
      <w:b/>
      <w:sz w:val="24"/>
    </w:rPr>
  </w:style>
  <w:style w:type="character" w:customStyle="1" w:styleId="Marker1">
    <w:name w:val="Marker1"/>
    <w:rPr>
      <w:color w:val="008000"/>
      <w:shd w:val="clear" w:color="auto" w:fill="auto"/>
    </w:rPr>
  </w:style>
  <w:style w:type="character" w:customStyle="1" w:styleId="Marker2">
    <w:name w:val="Marker2"/>
    <w:rPr>
      <w:color w:val="FF0000"/>
      <w:shd w:val="clear" w:color="auto" w:fill="auto"/>
    </w:rPr>
  </w:style>
  <w:style w:type="paragraph" w:customStyle="1" w:styleId="Point0number">
    <w:name w:val="Point 0 (number)"/>
    <w:basedOn w:val="Normal"/>
    <w:pPr>
      <w:numPr>
        <w:numId w:val="9"/>
      </w:numPr>
      <w:spacing w:before="120" w:after="120" w:line="240" w:lineRule="auto"/>
      <w:jc w:val="both"/>
    </w:pPr>
    <w:rPr>
      <w:rFonts w:ascii="Times New Roman" w:hAnsi="Times New Roman"/>
      <w:sz w:val="24"/>
    </w:rPr>
  </w:style>
  <w:style w:type="paragraph" w:customStyle="1" w:styleId="Point1number">
    <w:name w:val="Point 1 (number)"/>
    <w:basedOn w:val="Normal"/>
    <w:pPr>
      <w:numPr>
        <w:ilvl w:val="2"/>
        <w:numId w:val="9"/>
      </w:numPr>
      <w:spacing w:before="120" w:after="120" w:line="240" w:lineRule="auto"/>
      <w:jc w:val="both"/>
    </w:pPr>
    <w:rPr>
      <w:rFonts w:ascii="Times New Roman" w:hAnsi="Times New Roman"/>
      <w:sz w:val="24"/>
    </w:rPr>
  </w:style>
  <w:style w:type="paragraph" w:customStyle="1" w:styleId="Point2number">
    <w:name w:val="Point 2 (number)"/>
    <w:basedOn w:val="Normal"/>
    <w:pPr>
      <w:numPr>
        <w:ilvl w:val="4"/>
        <w:numId w:val="9"/>
      </w:numPr>
      <w:spacing w:before="120" w:after="120" w:line="240" w:lineRule="auto"/>
      <w:jc w:val="both"/>
    </w:pPr>
    <w:rPr>
      <w:rFonts w:ascii="Times New Roman" w:hAnsi="Times New Roman"/>
      <w:sz w:val="24"/>
    </w:rPr>
  </w:style>
  <w:style w:type="paragraph" w:customStyle="1" w:styleId="Point3number">
    <w:name w:val="Point 3 (number)"/>
    <w:basedOn w:val="Normal"/>
    <w:pPr>
      <w:numPr>
        <w:ilvl w:val="6"/>
        <w:numId w:val="9"/>
      </w:numPr>
      <w:spacing w:before="120" w:after="120" w:line="240" w:lineRule="auto"/>
      <w:jc w:val="both"/>
    </w:pPr>
    <w:rPr>
      <w:rFonts w:ascii="Times New Roman" w:hAnsi="Times New Roman"/>
      <w:sz w:val="24"/>
    </w:rPr>
  </w:style>
  <w:style w:type="paragraph" w:customStyle="1" w:styleId="Point0letter">
    <w:name w:val="Point 0 (letter)"/>
    <w:basedOn w:val="Normal"/>
    <w:pPr>
      <w:numPr>
        <w:ilvl w:val="1"/>
        <w:numId w:val="9"/>
      </w:numPr>
      <w:spacing w:before="120" w:after="120" w:line="240" w:lineRule="auto"/>
      <w:jc w:val="both"/>
    </w:pPr>
    <w:rPr>
      <w:rFonts w:ascii="Times New Roman" w:hAnsi="Times New Roman"/>
      <w:sz w:val="24"/>
    </w:rPr>
  </w:style>
  <w:style w:type="paragraph" w:customStyle="1" w:styleId="Point1letter">
    <w:name w:val="Point 1 (letter)"/>
    <w:basedOn w:val="Normal"/>
    <w:pPr>
      <w:spacing w:before="120" w:after="120" w:line="240" w:lineRule="auto"/>
      <w:jc w:val="both"/>
    </w:pPr>
    <w:rPr>
      <w:rFonts w:ascii="Times New Roman" w:hAnsi="Times New Roman"/>
      <w:sz w:val="24"/>
    </w:rPr>
  </w:style>
  <w:style w:type="paragraph" w:customStyle="1" w:styleId="Point2letter">
    <w:name w:val="Point 2 (letter)"/>
    <w:basedOn w:val="Normal"/>
    <w:pPr>
      <w:numPr>
        <w:ilvl w:val="5"/>
        <w:numId w:val="9"/>
      </w:numPr>
      <w:spacing w:before="120" w:after="120" w:line="240" w:lineRule="auto"/>
      <w:jc w:val="both"/>
    </w:pPr>
    <w:rPr>
      <w:rFonts w:ascii="Times New Roman" w:hAnsi="Times New Roman"/>
      <w:sz w:val="24"/>
    </w:rPr>
  </w:style>
  <w:style w:type="paragraph" w:customStyle="1" w:styleId="Point3letter">
    <w:name w:val="Point 3 (letter)"/>
    <w:basedOn w:val="Normal"/>
    <w:pPr>
      <w:numPr>
        <w:ilvl w:val="7"/>
        <w:numId w:val="9"/>
      </w:numPr>
      <w:spacing w:before="120" w:after="120" w:line="240" w:lineRule="auto"/>
      <w:jc w:val="both"/>
    </w:pPr>
    <w:rPr>
      <w:rFonts w:ascii="Times New Roman" w:hAnsi="Times New Roman"/>
      <w:sz w:val="24"/>
    </w:rPr>
  </w:style>
  <w:style w:type="paragraph" w:customStyle="1" w:styleId="Point4letter">
    <w:name w:val="Point 4 (letter)"/>
    <w:basedOn w:val="Normal"/>
    <w:pPr>
      <w:numPr>
        <w:ilvl w:val="8"/>
        <w:numId w:val="9"/>
      </w:numPr>
      <w:spacing w:before="120" w:after="120" w:line="240" w:lineRule="auto"/>
      <w:jc w:val="both"/>
    </w:pPr>
    <w:rPr>
      <w:rFonts w:ascii="Times New Roman" w:hAnsi="Times New Roman"/>
      <w:sz w:val="24"/>
    </w:rPr>
  </w:style>
  <w:style w:type="paragraph" w:customStyle="1" w:styleId="Bullet0">
    <w:name w:val="Bullet 0"/>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1">
    <w:name w:val="Bullet 1"/>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2">
    <w:name w:val="Bullet 2"/>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3">
    <w:name w:val="Bullet 3"/>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4">
    <w:name w:val="Bullet 4"/>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Langue">
    <w:name w:val="Langue"/>
    <w:basedOn w:val="Normal"/>
    <w:next w:val="Rfrenceinterne"/>
    <w:pPr>
      <w:framePr w:wrap="around" w:vAnchor="page" w:hAnchor="text" w:xAlign="center" w:y="14741"/>
      <w:spacing w:after="600" w:line="240" w:lineRule="auto"/>
      <w:jc w:val="center"/>
    </w:pPr>
    <w:rPr>
      <w:rFonts w:ascii="Times New Roman" w:hAnsi="Times New Roman"/>
      <w:b/>
      <w:caps/>
      <w:sz w:val="24"/>
    </w:rPr>
  </w:style>
  <w:style w:type="paragraph" w:customStyle="1" w:styleId="Nomdelinstitution">
    <w:name w:val="Nom de l'institution"/>
    <w:basedOn w:val="Normal"/>
    <w:next w:val="Emission"/>
    <w:pPr>
      <w:spacing w:after="0" w:line="240" w:lineRule="auto"/>
    </w:pPr>
    <w:rPr>
      <w:rFonts w:ascii="Arial" w:hAnsi="Arial" w:cs="Arial"/>
      <w:sz w:val="24"/>
    </w:rPr>
  </w:style>
  <w:style w:type="paragraph" w:customStyle="1" w:styleId="Emission">
    <w:name w:val="Emission"/>
    <w:basedOn w:val="Normal"/>
    <w:next w:val="Rfrenceinstitutionnelle"/>
    <w:pPr>
      <w:spacing w:after="0" w:line="240" w:lineRule="auto"/>
      <w:ind w:left="5103"/>
    </w:pPr>
    <w:rPr>
      <w:rFonts w:ascii="Times New Roman" w:hAnsi="Times New Roman"/>
      <w:sz w:val="24"/>
    </w:rPr>
  </w:style>
  <w:style w:type="paragraph" w:customStyle="1" w:styleId="Rfrenceinstitutionnelle">
    <w:name w:val="Référence institutionnelle"/>
    <w:basedOn w:val="Normal"/>
    <w:next w:val="Confidentialit"/>
    <w:pPr>
      <w:spacing w:after="240" w:line="240" w:lineRule="auto"/>
      <w:ind w:left="5103"/>
    </w:pPr>
    <w:rPr>
      <w:rFonts w:ascii="Times New Roman" w:hAnsi="Times New Roman"/>
      <w:sz w:val="24"/>
    </w:rPr>
  </w:style>
  <w:style w:type="paragraph" w:customStyle="1" w:styleId="Declassification">
    <w:name w:val="Declassification"/>
    <w:basedOn w:val="Normal"/>
    <w:next w:val="Normal"/>
    <w:pPr>
      <w:spacing w:after="0" w:line="240" w:lineRule="auto"/>
      <w:jc w:val="both"/>
    </w:pPr>
    <w:rPr>
      <w:rFonts w:ascii="Times New Roman" w:hAnsi="Times New Roman"/>
      <w:sz w:val="24"/>
    </w:rPr>
  </w:style>
  <w:style w:type="paragraph" w:customStyle="1" w:styleId="Disclaimer">
    <w:name w:val="Disclaimer"/>
    <w:basedOn w:val="Normal"/>
    <w:pPr>
      <w:framePr w:w="8220" w:wrap="notBeside" w:hAnchor="margin" w:xAlign="center" w:y="10401"/>
      <w:pBdr>
        <w:top w:val="single" w:sz="6" w:space="4" w:color="auto"/>
        <w:left w:val="single" w:sz="6" w:space="7" w:color="auto"/>
        <w:bottom w:val="single" w:sz="6" w:space="4" w:color="auto"/>
        <w:right w:val="single" w:sz="6" w:space="7" w:color="auto"/>
      </w:pBdr>
      <w:shd w:val="clear" w:color="FFFFFF" w:fill="auto"/>
      <w:spacing w:before="120" w:after="120" w:line="240" w:lineRule="auto"/>
      <w:jc w:val="both"/>
    </w:pPr>
    <w:rPr>
      <w:rFonts w:ascii="Times New Roman" w:hAnsi="Times New Roman"/>
      <w:sz w:val="24"/>
    </w:rPr>
  </w:style>
  <w:style w:type="paragraph" w:customStyle="1" w:styleId="SecurityMarking">
    <w:name w:val="SecurityMarking"/>
    <w:basedOn w:val="Normal"/>
    <w:pPr>
      <w:spacing w:after="0"/>
      <w:ind w:left="5103"/>
    </w:pPr>
    <w:rPr>
      <w:rFonts w:ascii="Times New Roman" w:hAnsi="Times New Roman"/>
      <w:sz w:val="28"/>
    </w:rPr>
  </w:style>
  <w:style w:type="paragraph" w:customStyle="1" w:styleId="DateMarking">
    <w:name w:val="DateMarking"/>
    <w:basedOn w:val="Normal"/>
    <w:pPr>
      <w:spacing w:after="0"/>
      <w:ind w:left="5103"/>
    </w:pPr>
    <w:rPr>
      <w:rFonts w:ascii="Times New Roman" w:hAnsi="Times New Roman"/>
      <w:i/>
      <w:sz w:val="28"/>
    </w:rPr>
  </w:style>
  <w:style w:type="paragraph" w:customStyle="1" w:styleId="ReleasableTo">
    <w:name w:val="ReleasableTo"/>
    <w:basedOn w:val="Normal"/>
    <w:pPr>
      <w:spacing w:after="0"/>
      <w:ind w:left="5103"/>
    </w:pPr>
    <w:rPr>
      <w:rFonts w:ascii="Times New Roman" w:hAnsi="Times New Roman"/>
      <w:i/>
      <w:sz w:val="28"/>
    </w:rPr>
  </w:style>
  <w:style w:type="paragraph" w:customStyle="1" w:styleId="Annexetitreexpos">
    <w:name w:val="Annexe titre (exposé)"/>
    <w:basedOn w:val="Normal"/>
    <w:next w:val="Normal"/>
    <w:pPr>
      <w:spacing w:before="120" w:after="120" w:line="240" w:lineRule="auto"/>
      <w:jc w:val="center"/>
    </w:pPr>
    <w:rPr>
      <w:rFonts w:ascii="Times New Roman" w:hAnsi="Times New Roman"/>
      <w:b/>
      <w:sz w:val="24"/>
      <w:u w:val="single"/>
    </w:rPr>
  </w:style>
  <w:style w:type="paragraph" w:customStyle="1" w:styleId="Annexetitre">
    <w:name w:val="Annexe titre"/>
    <w:basedOn w:val="Normal"/>
    <w:next w:val="Normal"/>
    <w:pPr>
      <w:spacing w:before="120" w:after="120" w:line="240" w:lineRule="auto"/>
      <w:jc w:val="center"/>
    </w:pPr>
    <w:rPr>
      <w:rFonts w:ascii="Times New Roman" w:hAnsi="Times New Roman"/>
      <w:b/>
      <w:sz w:val="24"/>
      <w:u w:val="single"/>
    </w:rPr>
  </w:style>
  <w:style w:type="paragraph" w:customStyle="1" w:styleId="Annexetitrefichefinancire">
    <w:name w:val="Annexe titre (fiche financière)"/>
    <w:basedOn w:val="Normal"/>
    <w:next w:val="Normal"/>
    <w:pPr>
      <w:spacing w:before="120" w:after="120" w:line="240" w:lineRule="auto"/>
      <w:jc w:val="center"/>
    </w:pPr>
    <w:rPr>
      <w:rFonts w:ascii="Times New Roman" w:hAnsi="Times New Roman"/>
      <w:b/>
      <w:sz w:val="24"/>
      <w:u w:val="single"/>
    </w:rPr>
  </w:style>
  <w:style w:type="paragraph" w:customStyle="1" w:styleId="Applicationdirecte">
    <w:name w:val="Application directe"/>
    <w:basedOn w:val="Normal"/>
    <w:next w:val="Fait"/>
    <w:pPr>
      <w:spacing w:before="480" w:after="120" w:line="240" w:lineRule="auto"/>
      <w:jc w:val="both"/>
    </w:pPr>
    <w:rPr>
      <w:rFonts w:ascii="Times New Roman" w:hAnsi="Times New Roman"/>
      <w:sz w:val="24"/>
    </w:rPr>
  </w:style>
  <w:style w:type="paragraph" w:customStyle="1" w:styleId="Avertissementtitre">
    <w:name w:val="Avertissement titre"/>
    <w:basedOn w:val="Normal"/>
    <w:next w:val="Normal"/>
    <w:pPr>
      <w:keepNext/>
      <w:spacing w:before="480" w:after="120" w:line="240" w:lineRule="auto"/>
      <w:jc w:val="both"/>
    </w:pPr>
    <w:rPr>
      <w:rFonts w:ascii="Times New Roman" w:hAnsi="Times New Roman"/>
      <w:sz w:val="24"/>
      <w:u w:val="single"/>
    </w:rPr>
  </w:style>
  <w:style w:type="paragraph" w:customStyle="1" w:styleId="Confidence">
    <w:name w:val="Confidence"/>
    <w:basedOn w:val="Normal"/>
    <w:next w:val="Normal"/>
    <w:pPr>
      <w:spacing w:before="360" w:after="120" w:line="240" w:lineRule="auto"/>
      <w:jc w:val="center"/>
    </w:pPr>
    <w:rPr>
      <w:rFonts w:ascii="Times New Roman" w:hAnsi="Times New Roman"/>
      <w:sz w:val="24"/>
    </w:rPr>
  </w:style>
  <w:style w:type="paragraph" w:customStyle="1" w:styleId="Confidentialit">
    <w:name w:val="Confidentialité"/>
    <w:basedOn w:val="Normal"/>
    <w:next w:val="TypedudocumentPagedecouverture"/>
    <w:pPr>
      <w:spacing w:before="240" w:after="240" w:line="240" w:lineRule="auto"/>
      <w:ind w:left="5103"/>
    </w:pPr>
    <w:rPr>
      <w:rFonts w:ascii="Times New Roman" w:hAnsi="Times New Roman"/>
      <w:i/>
      <w:sz w:val="32"/>
    </w:rPr>
  </w:style>
  <w:style w:type="paragraph" w:customStyle="1" w:styleId="Considrant">
    <w:name w:val="Considérant"/>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Corrigendum">
    <w:name w:val="Corrigendum"/>
    <w:basedOn w:val="Normal"/>
    <w:next w:val="Normal"/>
    <w:pPr>
      <w:spacing w:after="240" w:line="240" w:lineRule="auto"/>
    </w:pPr>
    <w:rPr>
      <w:rFonts w:ascii="Times New Roman" w:hAnsi="Times New Roman"/>
      <w:sz w:val="24"/>
    </w:rPr>
  </w:style>
  <w:style w:type="paragraph" w:customStyle="1" w:styleId="Datedadoption">
    <w:name w:val="Date d'adoption"/>
    <w:basedOn w:val="Normal"/>
    <w:next w:val="IntrtEEE"/>
    <w:pPr>
      <w:spacing w:before="360" w:after="0" w:line="240" w:lineRule="auto"/>
      <w:jc w:val="center"/>
    </w:pPr>
    <w:rPr>
      <w:rFonts w:ascii="Times New Roman" w:hAnsi="Times New Roman"/>
      <w:b/>
      <w:sz w:val="24"/>
    </w:rPr>
  </w:style>
  <w:style w:type="paragraph" w:customStyle="1" w:styleId="Exposdesmotifstitre">
    <w:name w:val="Exposé des motifs titre"/>
    <w:basedOn w:val="Normal"/>
    <w:next w:val="Normal"/>
    <w:pPr>
      <w:spacing w:before="120" w:after="120" w:line="240" w:lineRule="auto"/>
      <w:jc w:val="center"/>
    </w:pPr>
    <w:rPr>
      <w:rFonts w:ascii="Times New Roman" w:hAnsi="Times New Roman"/>
      <w:b/>
      <w:sz w:val="24"/>
      <w:u w:val="single"/>
    </w:rPr>
  </w:style>
  <w:style w:type="paragraph" w:customStyle="1" w:styleId="Fait">
    <w:name w:val="Fait à"/>
    <w:basedOn w:val="Normal"/>
    <w:next w:val="Institutionquisigne"/>
    <w:pPr>
      <w:keepNext/>
      <w:spacing w:before="120" w:after="0" w:line="240" w:lineRule="auto"/>
      <w:jc w:val="both"/>
    </w:pPr>
    <w:rPr>
      <w:rFonts w:ascii="Times New Roman" w:hAnsi="Times New Roman"/>
      <w:sz w:val="24"/>
    </w:rPr>
  </w:style>
  <w:style w:type="paragraph" w:customStyle="1" w:styleId="Formuledadoption">
    <w:name w:val="Formule d'adoption"/>
    <w:basedOn w:val="Normal"/>
    <w:next w:val="Titrearticle"/>
    <w:pPr>
      <w:keepNext/>
      <w:spacing w:before="120" w:after="120" w:line="240" w:lineRule="auto"/>
      <w:jc w:val="both"/>
    </w:pPr>
    <w:rPr>
      <w:rFonts w:ascii="Times New Roman" w:hAnsi="Times New Roman"/>
      <w:sz w:val="24"/>
    </w:rPr>
  </w:style>
  <w:style w:type="paragraph" w:customStyle="1" w:styleId="Institutionquiagit">
    <w:name w:val="Institution qui agit"/>
    <w:basedOn w:val="Normal"/>
    <w:next w:val="Normal"/>
    <w:pPr>
      <w:keepNext/>
      <w:spacing w:before="600" w:after="120" w:line="240" w:lineRule="auto"/>
      <w:jc w:val="both"/>
    </w:pPr>
    <w:rPr>
      <w:rFonts w:ascii="Times New Roman" w:hAnsi="Times New Roman"/>
      <w:sz w:val="24"/>
    </w:rPr>
  </w:style>
  <w:style w:type="paragraph" w:customStyle="1" w:styleId="Institutionquisigne">
    <w:name w:val="Institution qui signe"/>
    <w:basedOn w:val="Normal"/>
    <w:next w:val="Personnequisigne"/>
    <w:pPr>
      <w:keepNext/>
      <w:tabs>
        <w:tab w:val="left" w:pos="4252"/>
      </w:tabs>
      <w:spacing w:before="720" w:after="0" w:line="240" w:lineRule="auto"/>
      <w:jc w:val="both"/>
    </w:pPr>
    <w:rPr>
      <w:rFonts w:ascii="Times New Roman" w:hAnsi="Times New Roman"/>
      <w:i/>
      <w:sz w:val="24"/>
    </w:rPr>
  </w:style>
  <w:style w:type="paragraph" w:customStyle="1" w:styleId="ManualConsidrant">
    <w:name w:val="Manual Considérant"/>
    <w:basedOn w:val="Normal"/>
    <w:pPr>
      <w:spacing w:before="120" w:after="120" w:line="240" w:lineRule="auto"/>
      <w:ind w:left="709" w:hanging="709"/>
      <w:jc w:val="both"/>
    </w:pPr>
    <w:rPr>
      <w:rFonts w:ascii="Times New Roman" w:hAnsi="Times New Roman"/>
      <w:sz w:val="24"/>
    </w:rPr>
  </w:style>
  <w:style w:type="paragraph" w:customStyle="1" w:styleId="Personnequisigne">
    <w:name w:val="Personne qui signe"/>
    <w:basedOn w:val="Normal"/>
    <w:next w:val="Institutionquisigne"/>
    <w:pPr>
      <w:tabs>
        <w:tab w:val="left" w:pos="4252"/>
      </w:tabs>
      <w:spacing w:after="0" w:line="240" w:lineRule="auto"/>
    </w:pPr>
    <w:rPr>
      <w:rFonts w:ascii="Times New Roman" w:hAnsi="Times New Roman"/>
      <w:i/>
      <w:sz w:val="24"/>
    </w:rPr>
  </w:style>
  <w:style w:type="paragraph" w:customStyle="1" w:styleId="Rfrenceinterinstitutionnelle">
    <w:name w:val="Référence interinstitutionnelle"/>
    <w:basedOn w:val="Normal"/>
    <w:next w:val="Statut"/>
    <w:pPr>
      <w:spacing w:after="0" w:line="240" w:lineRule="auto"/>
      <w:ind w:left="5103"/>
    </w:pPr>
    <w:rPr>
      <w:rFonts w:ascii="Times New Roman" w:hAnsi="Times New Roman"/>
      <w:sz w:val="24"/>
    </w:rPr>
  </w:style>
  <w:style w:type="paragraph" w:customStyle="1" w:styleId="Rfrenceinterne">
    <w:name w:val="Référence interne"/>
    <w:basedOn w:val="Normal"/>
    <w:next w:val="Rfrenceinterinstitutionnelle"/>
    <w:pPr>
      <w:spacing w:after="0" w:line="240" w:lineRule="auto"/>
      <w:ind w:left="5103"/>
    </w:pPr>
    <w:rPr>
      <w:rFonts w:ascii="Times New Roman" w:hAnsi="Times New Roman"/>
      <w:sz w:val="24"/>
    </w:rPr>
  </w:style>
  <w:style w:type="paragraph" w:customStyle="1" w:styleId="Statut">
    <w:name w:val="Statut"/>
    <w:basedOn w:val="Normal"/>
    <w:next w:val="Typedudocument"/>
    <w:pPr>
      <w:spacing w:after="240" w:line="240" w:lineRule="auto"/>
      <w:jc w:val="center"/>
    </w:pPr>
    <w:rPr>
      <w:rFonts w:ascii="Times New Roman" w:hAnsi="Times New Roman"/>
      <w:sz w:val="24"/>
    </w:rPr>
  </w:style>
  <w:style w:type="paragraph" w:customStyle="1" w:styleId="Titrearticle">
    <w:name w:val="Titre article"/>
    <w:basedOn w:val="Normal"/>
    <w:next w:val="Normal"/>
    <w:pPr>
      <w:keepNext/>
      <w:spacing w:before="360" w:after="120" w:line="240" w:lineRule="auto"/>
      <w:jc w:val="center"/>
    </w:pPr>
    <w:rPr>
      <w:rFonts w:ascii="Times New Roman" w:hAnsi="Times New Roman"/>
      <w:i/>
      <w:sz w:val="24"/>
    </w:rPr>
  </w:style>
  <w:style w:type="paragraph" w:customStyle="1" w:styleId="Typedudocument">
    <w:name w:val="Type du document"/>
    <w:basedOn w:val="Normal"/>
    <w:next w:val="Accompagnant"/>
    <w:pPr>
      <w:spacing w:before="360" w:after="180" w:line="240" w:lineRule="auto"/>
      <w:jc w:val="center"/>
    </w:pPr>
    <w:rPr>
      <w:rFonts w:ascii="Times New Roman" w:hAnsi="Times New Roman"/>
      <w:b/>
      <w:sz w:val="24"/>
    </w:rPr>
  </w:style>
  <w:style w:type="character" w:customStyle="1" w:styleId="Added">
    <w:name w:val="Added"/>
    <w:rPr>
      <w:b/>
      <w:u w:val="single"/>
      <w:shd w:val="clear" w:color="auto" w:fill="auto"/>
    </w:rPr>
  </w:style>
  <w:style w:type="character" w:customStyle="1" w:styleId="Deleted">
    <w:name w:val="Deleted"/>
    <w:rPr>
      <w:strike/>
      <w:dstrike w:val="0"/>
      <w:shd w:val="clear" w:color="auto" w:fill="auto"/>
    </w:rPr>
  </w:style>
  <w:style w:type="paragraph" w:customStyle="1" w:styleId="Address">
    <w:name w:val="Address"/>
    <w:basedOn w:val="Normal"/>
    <w:next w:val="Normal"/>
    <w:pPr>
      <w:keepLines/>
      <w:spacing w:before="120" w:after="120" w:line="360" w:lineRule="auto"/>
      <w:ind w:left="3402"/>
    </w:pPr>
    <w:rPr>
      <w:rFonts w:ascii="Times New Roman" w:hAnsi="Times New Roman"/>
      <w:sz w:val="24"/>
    </w:rPr>
  </w:style>
  <w:style w:type="paragraph" w:customStyle="1" w:styleId="Objetexterne">
    <w:name w:val="Objet externe"/>
    <w:basedOn w:val="Normal"/>
    <w:next w:val="Normal"/>
    <w:pPr>
      <w:spacing w:before="120" w:after="120" w:line="240" w:lineRule="auto"/>
      <w:jc w:val="both"/>
    </w:pPr>
    <w:rPr>
      <w:rFonts w:ascii="Times New Roman" w:hAnsi="Times New Roman"/>
      <w:i/>
      <w:caps/>
      <w:sz w:val="24"/>
    </w:rPr>
  </w:style>
  <w:style w:type="paragraph" w:customStyle="1" w:styleId="Supertitre">
    <w:name w:val="Supertitre"/>
    <w:basedOn w:val="Normal"/>
    <w:next w:val="Normal"/>
    <w:pPr>
      <w:spacing w:after="600" w:line="240" w:lineRule="auto"/>
      <w:jc w:val="center"/>
    </w:pPr>
    <w:rPr>
      <w:rFonts w:ascii="Times New Roman" w:hAnsi="Times New Roman"/>
      <w:b/>
      <w:sz w:val="24"/>
    </w:rPr>
  </w:style>
  <w:style w:type="paragraph" w:customStyle="1" w:styleId="Languesfaisantfoi">
    <w:name w:val="Langues faisant foi"/>
    <w:basedOn w:val="Normal"/>
    <w:next w:val="Normal"/>
    <w:pPr>
      <w:spacing w:before="360" w:after="0" w:line="240" w:lineRule="auto"/>
      <w:jc w:val="center"/>
    </w:pPr>
    <w:rPr>
      <w:rFonts w:ascii="Times New Roman" w:hAnsi="Times New Roman"/>
      <w:sz w:val="24"/>
    </w:rPr>
  </w:style>
  <w:style w:type="paragraph" w:customStyle="1" w:styleId="Rfrencecroise">
    <w:name w:val="Référence croisée"/>
    <w:basedOn w:val="Normal"/>
    <w:pPr>
      <w:spacing w:after="0" w:line="240" w:lineRule="auto"/>
      <w:jc w:val="center"/>
    </w:pPr>
    <w:rPr>
      <w:rFonts w:ascii="Times New Roman" w:hAnsi="Times New Roman"/>
      <w:sz w:val="24"/>
    </w:rPr>
  </w:style>
  <w:style w:type="paragraph" w:customStyle="1" w:styleId="Fichefinanciretitre">
    <w:name w:val="Fiche financière titre"/>
    <w:basedOn w:val="Normal"/>
    <w:next w:val="Normal"/>
    <w:pPr>
      <w:spacing w:before="120" w:after="120" w:line="240" w:lineRule="auto"/>
      <w:jc w:val="center"/>
    </w:pPr>
    <w:rPr>
      <w:rFonts w:ascii="Times New Roman" w:hAnsi="Times New Roman"/>
      <w:b/>
      <w:sz w:val="24"/>
      <w:u w:val="single"/>
    </w:rPr>
  </w:style>
  <w:style w:type="paragraph" w:customStyle="1" w:styleId="DatedadoptionPagedecouverture">
    <w:name w:val="Date d'adoption (Page de couverture)"/>
    <w:basedOn w:val="Datedadoption"/>
    <w:next w:val="IntrtEEEPagedecouverture"/>
  </w:style>
  <w:style w:type="paragraph" w:customStyle="1" w:styleId="RfrenceinterinstitutionnellePagedecouverture">
    <w:name w:val="Référence interinstitutionnelle (Page de couverture)"/>
    <w:basedOn w:val="Rfrenceinterinstitutionnelle"/>
    <w:next w:val="Confidentialit"/>
  </w:style>
  <w:style w:type="paragraph" w:customStyle="1" w:styleId="StatutPagedecouverture">
    <w:name w:val="Statut (Page de couverture)"/>
    <w:basedOn w:val="Statut"/>
    <w:next w:val="TypedudocumentPagedecouverture"/>
  </w:style>
  <w:style w:type="paragraph" w:customStyle="1" w:styleId="TypedudocumentPagedecouverture">
    <w:name w:val="Type du document (Page de couverture)"/>
    <w:basedOn w:val="Typedudocument"/>
    <w:next w:val="AccompagnantPagedecouverture"/>
  </w:style>
  <w:style w:type="paragraph" w:customStyle="1" w:styleId="Volume">
    <w:name w:val="Volume"/>
    <w:basedOn w:val="Normal"/>
    <w:next w:val="Confidentialit"/>
    <w:pPr>
      <w:spacing w:after="240" w:line="240" w:lineRule="auto"/>
      <w:ind w:left="5103"/>
    </w:pPr>
    <w:rPr>
      <w:rFonts w:ascii="Times New Roman" w:hAnsi="Times New Roman"/>
      <w:sz w:val="24"/>
    </w:rPr>
  </w:style>
  <w:style w:type="paragraph" w:customStyle="1" w:styleId="IntrtEEE">
    <w:name w:val="Intérêt EEE"/>
    <w:basedOn w:val="Languesfaisantfoi"/>
    <w:next w:val="Normal"/>
    <w:pPr>
      <w:spacing w:after="240"/>
    </w:pPr>
  </w:style>
  <w:style w:type="paragraph" w:customStyle="1" w:styleId="Accompagnant">
    <w:name w:val="Accompagnant"/>
    <w:basedOn w:val="Normal"/>
    <w:next w:val="Typeacteprincipal"/>
    <w:pPr>
      <w:spacing w:before="180" w:after="240" w:line="240" w:lineRule="auto"/>
      <w:jc w:val="center"/>
    </w:pPr>
    <w:rPr>
      <w:rFonts w:ascii="Times New Roman" w:hAnsi="Times New Roman"/>
      <w:b/>
      <w:sz w:val="24"/>
    </w:rPr>
  </w:style>
  <w:style w:type="paragraph" w:customStyle="1" w:styleId="Typeacteprincipal">
    <w:name w:val="Type acte principal"/>
    <w:basedOn w:val="Normal"/>
    <w:next w:val="Objetacteprincipal"/>
    <w:pPr>
      <w:spacing w:after="240" w:line="240" w:lineRule="auto"/>
      <w:jc w:val="center"/>
    </w:pPr>
    <w:rPr>
      <w:rFonts w:ascii="Times New Roman" w:hAnsi="Times New Roman"/>
      <w:b/>
      <w:sz w:val="24"/>
    </w:rPr>
  </w:style>
  <w:style w:type="paragraph" w:customStyle="1" w:styleId="Objetacteprincipal">
    <w:name w:val="Objet acte principal"/>
    <w:basedOn w:val="Normal"/>
    <w:next w:val="Titrearticle"/>
    <w:pPr>
      <w:spacing w:after="360" w:line="240" w:lineRule="auto"/>
      <w:jc w:val="center"/>
    </w:pPr>
    <w:rPr>
      <w:rFonts w:ascii="Times New Roman" w:hAnsi="Times New Roman"/>
      <w:b/>
      <w:sz w:val="24"/>
    </w:rPr>
  </w:style>
  <w:style w:type="paragraph" w:customStyle="1" w:styleId="IntrtEEEPagedecouverture">
    <w:name w:val="Intérêt EEE (Page de couverture)"/>
    <w:basedOn w:val="IntrtEEE"/>
    <w:next w:val="Rfrencecroise"/>
  </w:style>
  <w:style w:type="paragraph" w:customStyle="1" w:styleId="AccompagnantPagedecouverture">
    <w:name w:val="Accompagnant (Page de couverture)"/>
    <w:basedOn w:val="Accompagnant"/>
    <w:next w:val="TypeacteprincipalPagedecouverture"/>
  </w:style>
  <w:style w:type="paragraph" w:customStyle="1" w:styleId="TypeacteprincipalPagedecouverture">
    <w:name w:val="Type acte principal (Page de couverture)"/>
    <w:basedOn w:val="Typeacteprincipal"/>
    <w:next w:val="ObjetacteprincipalPagedecouverture"/>
  </w:style>
  <w:style w:type="paragraph" w:customStyle="1" w:styleId="ObjetacteprincipalPagedecouverture">
    <w:name w:val="Objet acte principal (Page de couverture)"/>
    <w:basedOn w:val="Objetacteprincipal"/>
    <w:next w:val="Rfrencecroise"/>
  </w:style>
  <w:style w:type="paragraph" w:customStyle="1" w:styleId="LanguesfaisantfoiPagedecouverture">
    <w:name w:val="Langues faisant foi (Page de couverture)"/>
    <w:basedOn w:val="Normal"/>
    <w:next w:val="Normal"/>
    <w:pPr>
      <w:spacing w:before="360" w:after="0" w:line="240" w:lineRule="auto"/>
      <w:jc w:val="center"/>
    </w:pPr>
    <w:rPr>
      <w:rFonts w:ascii="Times New Roman" w:hAnsi="Times New Roman"/>
      <w:sz w:val="24"/>
    </w:rPr>
  </w:style>
  <w:style w:type="paragraph" w:styleId="Revision">
    <w:name w:val="Revision"/>
    <w:hidden/>
    <w:uiPriority w:val="99"/>
    <w:semiHidden/>
    <w:rsid w:val="00E45982"/>
    <w:rPr>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customXml" Target="../customXml/item5.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customXml" Target="../customXml/item4.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 Id="rId27" Type="http://schemas.openxmlformats.org/officeDocument/2006/relationships/customXml" Target="../customXml/item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s6HUYjhUewp0sLTnhB6FmZ/Bfg==">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</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1L-WzbRgQb8CAePcYTpxouP6n-smV0GBJ</MigrationSourceID>
    <_dlc_DocId xmlns="4e1405cc-6483-4f44-9f97-fe37ef0485ad">7Q4TDQVXNWXX-324052923-97304</_dlc_DocId>
    <_dlc_DocIdUrl xmlns="4e1405cc-6483-4f44-9f97-fe37ef0485ad">
      <Url>https://vlaamseoverheid.sharepoint.com/sites/II_PIN/_layouts/15/DocIdRedir.aspx?ID=7Q4TDQVXNWXX-324052923-97304</Url>
      <Description>7Q4TDQVXNWXX-324052923-97304</Description>
    </_dlc_DocIdUrl>
  </documentManagement>
</p:properties>
</file>

<file path=customXml/itemProps1.xml><?xml version="1.0" encoding="utf-8"?>
<ds:datastoreItem xmlns:ds="http://schemas.openxmlformats.org/officeDocument/2006/customXml" ds:itemID="{F0A8D575-FEB1-42C3-8090-B88D3218DCA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E25F1F7-B8FA-453C-A47D-819FFC246D7E}"/>
</file>

<file path=customXml/itemProps4.xml><?xml version="1.0" encoding="utf-8"?>
<ds:datastoreItem xmlns:ds="http://schemas.openxmlformats.org/officeDocument/2006/customXml" ds:itemID="{0C4F0C2F-FE72-4711-AD69-B2A3207DE8BA}"/>
</file>

<file path=customXml/itemProps5.xml><?xml version="1.0" encoding="utf-8"?>
<ds:datastoreItem xmlns:ds="http://schemas.openxmlformats.org/officeDocument/2006/customXml" ds:itemID="{81F33DF7-8606-4E6C-AA6B-5EE19059BC33}"/>
</file>

<file path=customXml/itemProps6.xml><?xml version="1.0" encoding="utf-8"?>
<ds:datastoreItem xmlns:ds="http://schemas.openxmlformats.org/officeDocument/2006/customXml" ds:itemID="{65B7834F-8561-4742-A5CA-DDDF1EF7E577}"/>
</file>

<file path=docProps/app.xml><?xml version="1.0" encoding="utf-8"?>
<Properties xmlns="http://schemas.openxmlformats.org/officeDocument/2006/extended-properties" xmlns:vt="http://schemas.openxmlformats.org/officeDocument/2006/docPropsVTypes">
  <Template>Normal.dotm</Template>
  <TotalTime>13</TotalTime>
  <Pages>21</Pages>
  <Words>6469</Words>
  <Characters>35582</Characters>
  <Application>Microsoft Office Word</Application>
  <DocSecurity>0</DocSecurity>
  <Lines>296</Lines>
  <Paragraphs>83</Paragraphs>
  <ScaleCrop>false</ScaleCrop>
  <Company/>
  <LinksUpToDate>false</LinksUpToDate>
  <CharactersWithSpaces>41968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Lewyllie Peter</dc:creator>
  <cp:lastModifiedBy>Wim Vandenberghe</cp:lastModifiedBy>
  <cp:revision>6</cp:revision>
  <dcterms:created xsi:type="dcterms:W3CDTF">2025-05-16T12:55:00Z</dcterms:created>
  <dcterms:modified xsi:type="dcterms:W3CDTF">2026-03-12T12:29:00Z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tatus">
    <vt:lpwstr>Green</vt:lpwstr>
  </property>
  <property fmtid="{D5CDD505-2E9C-101B-9397-08002B2CF9AE}" pid="3" name="Level of sensitivity">
    <vt:lpwstr>Standard treatment</vt:lpwstr>
  </property>
  <property fmtid="{D5CDD505-2E9C-101B-9397-08002B2CF9AE}" pid="4" name="Last edited using">
    <vt:lpwstr>LW 7.0, Build 20190717</vt:lpwstr>
  </property>
  <property fmtid="{D5CDD505-2E9C-101B-9397-08002B2CF9AE}" pid="5" name="MSIP_Label_3f04ddc5-7ea6-41f4-8d3b-a387b6441ec3_Enabled">
    <vt:lpwstr>true</vt:lpwstr>
  </property>
  <property fmtid="{D5CDD505-2E9C-101B-9397-08002B2CF9AE}" pid="6" name="MSIP_Label_3f04ddc5-7ea6-41f4-8d3b-a387b6441ec3_SetDate">
    <vt:lpwstr>2025-05-09T08:04:45Z</vt:lpwstr>
  </property>
  <property fmtid="{D5CDD505-2E9C-101B-9397-08002B2CF9AE}" pid="7" name="MSIP_Label_3f04ddc5-7ea6-41f4-8d3b-a387b6441ec3_Method">
    <vt:lpwstr>Standard</vt:lpwstr>
  </property>
  <property fmtid="{D5CDD505-2E9C-101B-9397-08002B2CF9AE}" pid="8" name="MSIP_Label_3f04ddc5-7ea6-41f4-8d3b-a387b6441ec3_Name">
    <vt:lpwstr>INTERNAL</vt:lpwstr>
  </property>
  <property fmtid="{D5CDD505-2E9C-101B-9397-08002B2CF9AE}" pid="9" name="MSIP_Label_3f04ddc5-7ea6-41f4-8d3b-a387b6441ec3_SiteId">
    <vt:lpwstr>4e24b194-0314-477c-a082-d0530200845a</vt:lpwstr>
  </property>
  <property fmtid="{D5CDD505-2E9C-101B-9397-08002B2CF9AE}" pid="10" name="MSIP_Label_3f04ddc5-7ea6-41f4-8d3b-a387b6441ec3_ActionId">
    <vt:lpwstr>39cf6a55-7a1f-4b9c-bf60-f2d19664435f</vt:lpwstr>
  </property>
  <property fmtid="{D5CDD505-2E9C-101B-9397-08002B2CF9AE}" pid="11" name="MSIP_Label_3f04ddc5-7ea6-41f4-8d3b-a387b6441ec3_ContentBits">
    <vt:lpwstr>0</vt:lpwstr>
  </property>
  <property fmtid="{D5CDD505-2E9C-101B-9397-08002B2CF9AE}" pid="12" name="ContentTypeId">
    <vt:lpwstr>0x01010039033E98A23C4C46B504312002C80FFF</vt:lpwstr>
  </property>
  <property fmtid="{D5CDD505-2E9C-101B-9397-08002B2CF9AE}" pid="13" name="Order">
    <vt:r8>1700</vt:r8>
  </property>
  <property fmtid="{D5CDD505-2E9C-101B-9397-08002B2CF9AE}" pid="14" name="_dlc_DocIdItemGuid">
    <vt:lpwstr>9e171a67-3883-4d78-910d-c520adc51f3d</vt:lpwstr>
  </property>
  <property fmtid="{D5CDD505-2E9C-101B-9397-08002B2CF9AE}" pid="15" name="MediaServiceImageTags">
    <vt:lpwstr/>
  </property>
</Properties>
</file>